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ind w:left="0" w:right="0" w:hanging="0"/>
        <w:jc w:val="center"/>
        <w:rPr>
          <w:rFonts w:ascii="Verdana" w:hAnsi="Verdana"/>
          <w:sz w:val="20"/>
          <w:szCs w:val="20"/>
        </w:rPr>
      </w:pPr>
      <w:r>
        <w:rPr>
          <w:rFonts w:ascii="Verdana" w:hAnsi="Verdana"/>
          <w:b/>
          <w:bCs/>
          <w:color w:val="000000"/>
          <w:sz w:val="20"/>
          <w:szCs w:val="20"/>
        </w:rPr>
        <w:t>TERMO DE REFERÊNCIA – LEI 14.133/21</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ascii="Verdana" w:hAnsi="Verdana"/>
          <w:b/>
          <w:bCs/>
          <w:iCs/>
          <w:color w:val="000000"/>
          <w:sz w:val="20"/>
          <w:szCs w:val="20"/>
        </w:rPr>
        <w:t xml:space="preserve">REGISTRO DE PREÇOS – </w:t>
      </w:r>
      <w:r>
        <w:rPr>
          <w:rFonts w:eastAsia="Times New Roman" w:cs="Times New Roman" w:ascii="Verdana" w:hAnsi="Verdana"/>
          <w:b/>
          <w:bCs/>
          <w:iCs/>
          <w:color w:val="000000"/>
          <w:sz w:val="20"/>
          <w:szCs w:val="20"/>
        </w:rPr>
        <w:t xml:space="preserve"> AQUISIÇÃO DE</w:t>
      </w:r>
      <w:r>
        <w:rPr>
          <w:rFonts w:eastAsia="Times New Roman" w:cs="Times New Roman" w:ascii="Verdana" w:hAnsi="Verdana"/>
          <w:b/>
          <w:bCs/>
          <w:iCs/>
          <w:color w:val="000000"/>
          <w:sz w:val="20"/>
          <w:szCs w:val="20"/>
          <w:u w:val="none"/>
        </w:rPr>
        <w:t xml:space="preserve"> </w:t>
      </w:r>
      <w:r>
        <w:rPr>
          <w:rFonts w:eastAsia="Times New Roman" w:cs="Times New Roman" w:ascii="Verdana" w:hAnsi="Verdana"/>
          <w:b/>
          <w:bCs/>
          <w:iCs/>
          <w:color w:val="000000"/>
          <w:kern w:val="0"/>
          <w:sz w:val="20"/>
          <w:szCs w:val="20"/>
          <w:u w:val="none"/>
          <w:lang w:val="pt-BR" w:eastAsia="pt-BR" w:bidi="ar-SA"/>
        </w:rPr>
        <w:t>EQUIPAMENTOS</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i w:val="false"/>
          <w:iCs w:val="false"/>
          <w:color w:val="000000"/>
          <w:sz w:val="20"/>
          <w:szCs w:val="20"/>
        </w:rPr>
        <w:t xml:space="preserve">Processo Administrativo nº </w:t>
      </w:r>
      <w:r>
        <w:rPr>
          <w:rFonts w:eastAsia="Times New Roman" w:cs="Times New Roman" w:ascii="Verdana" w:hAnsi="Verdana"/>
          <w:b/>
          <w:bCs/>
          <w:i w:val="false"/>
          <w:iCs w:val="false"/>
          <w:color w:val="000000"/>
          <w:sz w:val="20"/>
          <w:szCs w:val="20"/>
        </w:rPr>
        <w:t>000606</w:t>
      </w:r>
      <w:r>
        <w:rPr>
          <w:rFonts w:cs="Arial" w:ascii="Verdana" w:hAnsi="Verdana"/>
          <w:b/>
          <w:bCs/>
          <w:i w:val="false"/>
          <w:iCs w:val="false"/>
          <w:color w:val="000000"/>
          <w:sz w:val="20"/>
          <w:szCs w:val="20"/>
        </w:rPr>
        <w:t xml:space="preserve">/2025 de 27 de </w:t>
      </w:r>
      <w:r>
        <w:rPr>
          <w:rFonts w:eastAsia="Times New Roman" w:cs="Arial" w:ascii="Verdana" w:hAnsi="Verdana"/>
          <w:b/>
          <w:bCs/>
          <w:i w:val="false"/>
          <w:iCs w:val="false"/>
          <w:color w:val="000000"/>
          <w:sz w:val="20"/>
          <w:szCs w:val="20"/>
        </w:rPr>
        <w:t>janeir</w:t>
      </w:r>
      <w:r>
        <w:rPr>
          <w:rFonts w:cs="Arial" w:ascii="Verdana" w:hAnsi="Verdana"/>
          <w:b/>
          <w:bCs/>
          <w:i w:val="false"/>
          <w:iCs w:val="false"/>
          <w:color w:val="000000"/>
          <w:sz w:val="20"/>
          <w:szCs w:val="20"/>
        </w:rPr>
        <w:t>o de 2025 (Secretaria Municipal de Assistência, Desenvolvimento Social e Família –</w:t>
      </w:r>
      <w:r>
        <w:rPr>
          <w:rFonts w:cs="Arial" w:ascii="Verdana" w:hAnsi="Verdana"/>
          <w:b/>
          <w:bCs/>
          <w:i w:val="false"/>
          <w:iCs w:val="false"/>
          <w:color w:val="000000"/>
          <w:sz w:val="20"/>
          <w:szCs w:val="20"/>
          <w:u w:val="none"/>
        </w:rPr>
        <w:t xml:space="preserve"> Secretaria Municipal de Administração)</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ivel1"/>
        <w:spacing w:lineRule="auto" w:line="240" w:before="0" w:after="0"/>
        <w:ind w:left="0" w:right="0" w:hanging="0"/>
        <w:rPr>
          <w:rFonts w:ascii="Verdana" w:hAnsi="Verdana"/>
          <w:sz w:val="20"/>
          <w:szCs w:val="2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ascii="Verdana" w:hAnsi="Verdana"/>
          <w:b w:val="false"/>
          <w:bCs w:val="false"/>
          <w:iCs/>
          <w:sz w:val="20"/>
          <w:szCs w:val="20"/>
        </w:rPr>
        <w:t>1.1 Registro de preços</w:t>
      </w:r>
      <w:r>
        <w:rPr>
          <w:rFonts w:ascii="Verdana" w:hAnsi="Verdana"/>
          <w:b/>
          <w:bCs/>
          <w:iCs/>
          <w:sz w:val="20"/>
          <w:szCs w:val="20"/>
        </w:rPr>
        <w:t xml:space="preserve"> </w:t>
      </w:r>
      <w:r>
        <w:rPr>
          <w:rFonts w:ascii="Verdana" w:hAnsi="Verdana"/>
          <w:iCs/>
          <w:sz w:val="20"/>
          <w:szCs w:val="20"/>
        </w:rPr>
        <w:t>para a aquisição de móveis de escritório para utilização da Secretaria Municipal de Assistência Social e seus equipamentos e das secretarias e unidades administrativas da Prefeitura Municipal de São Gabriel da Palha/ES, no período de 12 (doze) meses, r</w:t>
      </w:r>
      <w:r>
        <w:rPr>
          <w:rFonts w:eastAsia="Times New Roman" w:cs="Times New Roman" w:ascii="Verdana" w:hAnsi="Verdana"/>
          <w:iCs/>
          <w:color w:val="000000"/>
          <w:sz w:val="20"/>
          <w:szCs w:val="20"/>
        </w:rPr>
        <w:t>elacionados e especificados constantes neste TR e ETP, apêndice dos autos.</w:t>
      </w:r>
    </w:p>
    <w:p>
      <w:pPr>
        <w:pStyle w:val="ListParagraph"/>
        <w:tabs>
          <w:tab w:val="clear" w:pos="708"/>
          <w:tab w:val="left" w:pos="0" w:leader="none"/>
        </w:tabs>
        <w:suppressAutoHyphens w:val="false"/>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tbl>
      <w:tblPr>
        <w:tblW w:w="9540" w:type="dxa"/>
        <w:jc w:val="center"/>
        <w:tblInd w:w="0" w:type="dxa"/>
        <w:tblLayout w:type="fixed"/>
        <w:tblCellMar>
          <w:top w:w="0" w:type="dxa"/>
          <w:left w:w="70" w:type="dxa"/>
          <w:bottom w:w="0" w:type="dxa"/>
          <w:right w:w="70" w:type="dxa"/>
        </w:tblCellMar>
      </w:tblPr>
      <w:tblGrid>
        <w:gridCol w:w="734"/>
        <w:gridCol w:w="3624"/>
        <w:gridCol w:w="958"/>
        <w:gridCol w:w="1149"/>
        <w:gridCol w:w="1410"/>
        <w:gridCol w:w="1664"/>
      </w:tblGrid>
      <w:tr>
        <w:trPr>
          <w:trHeight w:val="269" w:hRule="atLeast"/>
        </w:trPr>
        <w:tc>
          <w:tcPr>
            <w:tcW w:w="73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Item</w:t>
            </w:r>
          </w:p>
        </w:tc>
        <w:tc>
          <w:tcPr>
            <w:tcW w:w="362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Descrição</w:t>
            </w:r>
          </w:p>
        </w:tc>
        <w:tc>
          <w:tcPr>
            <w:tcW w:w="958"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Quant.</w:t>
            </w:r>
          </w:p>
        </w:tc>
        <w:tc>
          <w:tcPr>
            <w:tcW w:w="1149"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Unidade de medida</w:t>
            </w:r>
          </w:p>
        </w:tc>
        <w:tc>
          <w:tcPr>
            <w:tcW w:w="1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Preço unitário</w:t>
            </w:r>
            <w:r>
              <w:rPr>
                <w:rFonts w:cs="Arial" w:ascii="Verdana" w:hAnsi="Verdana"/>
                <w:b/>
                <w:bCs/>
                <w:sz w:val="20"/>
                <w:szCs w:val="20"/>
                <w:u w:val="single"/>
              </w:rPr>
              <w:t xml:space="preserve"> </w:t>
            </w:r>
            <w:r>
              <w:rPr>
                <w:rFonts w:cs="Arial" w:ascii="Verdana" w:hAnsi="Verdana"/>
                <w:b/>
                <w:bCs/>
                <w:sz w:val="20"/>
                <w:szCs w:val="20"/>
                <w:u w:val="none"/>
              </w:rPr>
              <w:t>estimado</w:t>
            </w:r>
          </w:p>
        </w:tc>
        <w:tc>
          <w:tcPr>
            <w:tcW w:w="16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bCs/>
                <w:sz w:val="20"/>
                <w:szCs w:val="20"/>
              </w:rPr>
              <w:t>Preço total</w:t>
            </w:r>
            <w:r>
              <w:rPr>
                <w:rFonts w:cs="Arial" w:ascii="Verdana" w:hAnsi="Verdana"/>
                <w:b/>
                <w:bCs/>
                <w:sz w:val="20"/>
                <w:szCs w:val="20"/>
                <w:u w:val="single"/>
              </w:rPr>
              <w:t xml:space="preserve"> </w:t>
            </w:r>
            <w:r>
              <w:rPr>
                <w:rFonts w:cs="Arial" w:ascii="Verdana" w:hAnsi="Verdana"/>
                <w:b/>
                <w:bCs/>
                <w:sz w:val="20"/>
                <w:szCs w:val="20"/>
                <w:u w:val="none"/>
              </w:rPr>
              <w:t>estimado</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01</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Armário de aço com porta com moldura para vidro, prateleiras móveis, com opção de regulagem por cremalheiras de 50em 50mm e 1 fixa, ambas em chapa de aço, fechadura cilíndrica do tipo yale com 02 chaves com travamento da porta na prateleira fixa central. tratado por processo anticorrosivo e pintura eletrostática a pó. medidas aproximadas 480x100/1730</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70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Times New Roman"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961,85</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67.329,50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02</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Armário de aço montável, com 02 portas de abrir com 4 reforços internos  tipo "ômega" no sentido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horizontal, puxador estampado na própria porta no sentido vertical, com acabamento em pvc, com sistema de cremalheira para regulador de prateleiras a cada 50mm, com 01 prateleira fixa para travamento das portas e 02 reguláveis, fechadura cilíndrica com chaves tipo yale, confeccionado em chapa de aço nº 24 (0,60mm) e nº 26 (0,45mm), tratado pelo processo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anti-corrosivo á base de fosfato de zinco e pintura eletrostática a pó, com camada de 30 a 40 mícrons com secagem em estufa a 240ºc, medindo aproximadamente: 1980mm de altura, 1200mm de largura e 400mm de profundidade, portas nas cores azul, verde e laranja e</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laterias na cor cinza.</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90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w:t>
            </w:r>
            <w:r>
              <w:rPr>
                <w:rFonts w:eastAsia="Times New Roman" w:cs="Arial" w:ascii="Verdana" w:hAnsi="Verdana"/>
                <w:b w:val="false"/>
                <w:bCs w:val="false"/>
                <w:color w:val="auto"/>
                <w:kern w:val="0"/>
                <w:sz w:val="20"/>
                <w:szCs w:val="20"/>
                <w:u w:val="none"/>
                <w:lang w:val="pt-BR" w:eastAsia="pt-BR" w:bidi="ar-SA"/>
              </w:rPr>
              <w:t xml:space="preserve"> 1.381,64</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124.347,60</w:t>
            </w:r>
          </w:p>
        </w:tc>
      </w:tr>
      <w:tr>
        <w:trPr>
          <w:trHeight w:val="344"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03</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Banco longarina 03(três) lugares, assento e encosto em plástico, encosto fixo, estrutura preta, tubo 50 x 30 mm</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200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Times New Roman"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R$ 415,</w:t>
            </w:r>
            <w:r>
              <w:rPr>
                <w:rFonts w:eastAsia="Times New Roman" w:cs="Arial" w:ascii="Verdana" w:hAnsi="Verdana"/>
                <w:b w:val="false"/>
                <w:bCs w:val="false"/>
                <w:color w:val="auto"/>
                <w:kern w:val="0"/>
                <w:sz w:val="20"/>
                <w:szCs w:val="20"/>
                <w:u w:val="none"/>
                <w:lang w:val="pt-BR" w:eastAsia="pt-BR" w:bidi="ar-SA"/>
              </w:rPr>
              <w:t>03</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R$ 83.006,00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04</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Cadeira fixa 4 pés, estrutura tubo industrial 20 x 20 mm, assento encosto compensado fenólico melamínico, estofados espuma injetada 40mm, densidade 28 revestida em tecido de algodão alta resistência, espessura  min. 0,9mm. Acabamento bordas perfil PVC. encosto pingente, lamina aço liga o assento ao encosto c/ no min. 3 cm de largura. contracapa encosto/assento c/ capa proteção polipropileno ou vacuum forming, estruturas metálicas ligadas por solda mig. Encosto 280 x 390mm, assento 430 x 390.</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200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Times New Roman"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242,13</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48.426,00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05</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Cadeira giratória em courvin preto, com braços com regulagem de altura e inclinação. - base #giratória com 5 hastes confeccionadas em aço com parede interna mínima de 1,9mm de espessura com perfil de proteção contra impactos e acabamento em polipropileno ou material plástico compatível; rodízios duplos, giratórios, com cavaletes de nylon, eixo vertical em aço com diâmetro mínimo 10mm e eixo horizontal com 8mm de diâmetro mínimo; rodas com 50mm de diâmetro; coluna com sistema de regulagem de altura através de pistão à gás com o mínimo de 125mm de curso; coluna central em tubo de aço, diâmetro de 50,8mm, em chapa com espessura mínima de 1,5mm com 210mm de comprimento, recoberta por capas de polipropileno, fechado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na sua parte inferior com arruela de 3mm de espessura, soldada na coluna por solda mig. - assento em madeira compensada, moldada anatomicamente com tratamento imunizante, com no mínimo 12mm de espessura, prensada à quente; estofado com espuma de poliuretano injetado de alta resistência, espessura mínima de 50mm, densidade de 50 a 60 kgf/m³,  moldado anatomicamente; revestimento em courvin preto com proteção de pvc nas bordas e sem grampos aparentes; regulagem milimétrica de altura, feita através de alavanca com bloqueio em qualquer posição. medidas mínimas do assento: l= 460 mm x p= 420 mm. - contra capa do assento em polipropileno injetado na cor preta. - encosto em madeira compensada moldada anatomicamente com tratamento imunizante, com no mínimo 12mm de espessura, prensado à quente; estofado com espuma de poliuretano injetada de alta resistência, espessura mínima de 40mm nas bordas e 50mm no apoio lombar, densidade de 50 a 60 kgf/m3, moldado anatomicamente; revestimento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em courvin preto com proteção de pvc nas bordas e sem grampos aparentes; contra encosto com capa de proteção injetado em polipropileno; regulagem de altura para 07 posições, no mínimo, com ajuste telescópico e curso mínimo de 70mm; regulagem de inclinação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feita através de alavanca com bloqueio em qualquer posição, sendo sua inclinação de livre flutuação, com eixo de aço na parte superior e coxim de borracha flexível, que permite movimento oscilante, fixado com capa de polipropileno injetado; medidas mínimas do  encosto: l= 380 mm x a= 360 mm. - braços em forma de t, com estrutura em aço tubular industrial oval ou chapa de aço de aproximadamente 6x55mm; regulagem de altura, através de botão de pressão com bloqueio em 04 posições, no mínimo; apoio do braço em poliuretano injetado flexível moldado anatomicamente, com alma de</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aço. Fixação ao assento através de parafusos de no mínimo 1/4 x 3/4 e porcas garra fixadas à madeira. - pintura das partes metálicas que compõem a cadeira com tinta epoxi-pó na cor preto fosco, aplicada pelo processo de deposição eletrostática, com camada mínima de 50 µm. -devem ser obedecidas todas as demais especificações constantes da NBR 13962/2006.</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450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R$ 390,15</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175.567,50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06</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Cadeira plástica fixa, cor branca, sem braço, capacidade 120 kk.</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3.000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Times New Roman"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84,30</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252.900,00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07</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Mesa para reuniões, 06 lugares, oval, medindo 2,00 x 0,90 cm, tampo de 18 mm em melamínico, perfil de PVC, com travessa central, pés em estrutura de aço 30 x 50 cm</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30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940,33</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28.209,90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ascii="Verdana" w:hAnsi="Verdana"/>
                <w:sz w:val="20"/>
                <w:szCs w:val="20"/>
              </w:rPr>
              <w:t>08</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Mesa plástica na cor branca, formato quadrada, fabricada em polipropileno carbonato e aditivos e aditivada com anti-uv resistente aos raios solares, dimensões aproximadas (axlxp) 71 x 66 x 66 cm, com peso aproximado de 3,6 kg, com certificação do INMETRO e garantia mínima de 12 meses.</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700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R$ 109,60</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 xml:space="preserve">R$ </w:t>
            </w:r>
            <w:r>
              <w:rPr>
                <w:rFonts w:eastAsia="Times New Roman" w:cs="Arial" w:ascii="Verdana" w:hAnsi="Verdana"/>
                <w:b w:val="false"/>
                <w:bCs w:val="false"/>
                <w:color w:val="auto"/>
                <w:kern w:val="0"/>
                <w:sz w:val="20"/>
                <w:szCs w:val="20"/>
                <w:u w:val="none"/>
                <w:lang w:val="pt-BR" w:eastAsia="pt-BR" w:bidi="ar-SA"/>
              </w:rPr>
              <w:t xml:space="preserve"> 76.720,00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09</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Mesa de escritório conjunto de mesa de escritório com 02 mesas linha executiva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Tampo em tamburato 50mm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Material mdp Formato retangular</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Acabamento fosco - acabamento em bp de Longa duração e fácil limpeza - resistentes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Bordas de pvc pés com regulagem de altura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Montagem com fixação eme tambor, Parafuso minifix e parafusos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xml:space="preserve"> </w:t>
            </w:r>
            <w:r>
              <w:rPr>
                <w:rFonts w:eastAsia="Times New Roman" w:cs="Times New Roman" w:ascii="Verdana" w:hAnsi="Verdana"/>
                <w:sz w:val="20"/>
                <w:szCs w:val="20"/>
                <w:lang w:eastAsia="zh-CN"/>
              </w:rPr>
              <w:t>Nas cores charuto e preto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Medida aproximadas de cada mesa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Largura 59,8cm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Altura 75cm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Comprimento 135,6 cm</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108</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R$ 1.893,85</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R$ 204.535,80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10</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Poltrona dois lugares estofada no Assento, encosto e braços, em couro Sintético, tipo namoradeira, estrutura em Madeira, assento e encosto em espuma D23.</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Cor: bege, cinza claro ou off white</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30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R$ 558,63</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R$ 16.758,90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11</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Gaveteiro volante com 4 gavetas.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Dimensões: 400 x 470 x 620 (lxpxh) (variação máxima de 5% nas medidas para Mais ou para menos).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Tampo: constituído em mdf/mdp de 25 mm de Espessura, revestida em Laminado melamínico de baixa pressão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Texturizado em ambas as faces, borda Frontal e posterior com acabamento em fita De pvc de 2mm de espessura, colada a Quente pelo sistema holtmelt em todo seu Perímetro. bordas transversais com Acabamento em fita de pvc de 2mm de Espessura, colada a Quente pelo sistema holtmelt em todo seu Perímetro. corpo: constituído em mdf/mdp De 18 mm de espessura, revestida em Laminado melamínico de baixa pressão Texturizado em ambas as faces, com Bordas em pvc de 2mm De espessura, colada a quente pelo Sistema holtmelt. gavetas confeccionadas Em chapa de aço 24 (0,60 mm) de espessura (mínimo), dobrada e soldada Através de eletro-fusão, com deslizamento Suave sobre corrediças em aço, Roldanas em nylon e eixos em aço. Frente Das gavetas em madeira mdf/mdp de 18 mm De espessura, revestida em laminado Melamínico de baixa pressão texturizado Em ambas as faces. puxadores do tipo Zamak niquelado redondo com forma Côncava com aproximadamente 130 mm de</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Comprimento. acabamento das bordas em Fita de pvc colada a quente pelo sistema Holtmelt. fechadura com fechamento Simultâneo das gavetas, com 02 chaves  Dobráveis. com 04 rodízios. o licitante Deverá apresentar junto com a proposta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Comercial: laudo técnico emitido por Engenheiro de segurança do trabalho ou</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Médico do trabalho, habilitado pelo Ministério do trabalho e Devidamente registrado em seu respectivo Conselho de classe, e por</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Profissional/entidade com especialidade em Ergonomia, certificado pela associação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Brasileira de ergonomia (abergo), atestando Que o produto Ofertado está em conformidade com a Norma regulamentadora nr-17 (ergonomia);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Certificado de conformidade emitido pela Abnt ou outra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Certificadora acreditada pelo inmetro, Comprovando que o mobiliário atende o Disposto na norma nbr 13961/2010;</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Comprovação de madeira utilizada (fsc / Cerflor) em nome do fabricante do material A ser entregue. certificado de Regularidade no cadastro técnico federal do Instituto brasileiro do meio ambiente e dos Recursos naturais renováveis – ibama – para atividades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Potencialmente poluidoras e utilizadoras Dos recursos ambientais em nome do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Fabricante. certificado de conformidade Emitido pela abnt, ou outra Certificadora acreditada pelo inmetro, Comprovando que o fabricante tem seu#= Processo de preparação e pintura de Superfícies metálicas certificado conforme A pe-289, garantindo o atendimento e Conformidade às normas abnt nbr 14951, Abnt nbr 14847, abnt nbr 15156, abnt nbr</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15185, abnt nbr iso 4628-3, abnt nbr 9209, Abnt nbr 15158, Abnt nbr 8094, abnt nbr 8095, abnt nbr 8096, abnt nbr 10545, Abnt nbr 10443, abnt nbr 11003. catálogo Técnico de cada produto Cotado, nos quais necessariamente  Constarão imagens e desenhos com cotas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Para todos os itens do lote, comprovando Que os itens ofertados fazem parte de sua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Linha de fabricação. esta condição será de Extrema relevância para a avaliação dos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Mesmos, assim como os seguintes fatores: Conformidade</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Com as especificações, características Técnicas e certificados de conformidade</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Apresentados, qualidade, durabilidade, Acabamento, estética, Ergonomia e funcionalidade. a não Apresentação acarretará desclassificação Do licitante. declaração de garantia emitida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Exclusivamente pelo fabricante, assinada Por pessoa devidamente acreditada e com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Firma reconhecida e registrada em cartório, Onde o período mínimo de garantia seja de</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05 anos.</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eastAsia="Times New Roman" w:cs="Arial"/>
                <w:b w:val="false"/>
                <w:bCs w:val="false"/>
                <w:color w:val="auto"/>
                <w:kern w:val="0"/>
                <w:sz w:val="20"/>
                <w:szCs w:val="20"/>
                <w:u w:val="none"/>
                <w:lang w:val="pt-BR" w:eastAsia="pt-BR" w:bidi="ar-SA"/>
              </w:rPr>
            </w:pPr>
            <w:r>
              <w:rPr>
                <w:rFonts w:eastAsia="Times New Roman" w:cs="Arial" w:ascii="Verdana" w:hAnsi="Verdana"/>
                <w:b w:val="false"/>
                <w:bCs w:val="false"/>
                <w:color w:val="auto"/>
                <w:kern w:val="0"/>
                <w:sz w:val="20"/>
                <w:szCs w:val="20"/>
                <w:u w:val="none"/>
                <w:lang w:val="pt-BR" w:eastAsia="pt-BR" w:bidi="ar-SA"/>
              </w:rPr>
            </w:r>
          </w:p>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65</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eastAsia="Times New Roman" w:cs="Arial"/>
                <w:b w:val="false"/>
                <w:bCs w:val="false"/>
                <w:color w:val="auto"/>
                <w:kern w:val="0"/>
                <w:sz w:val="20"/>
                <w:szCs w:val="20"/>
                <w:u w:val="none"/>
                <w:lang w:val="pt-BR" w:eastAsia="zh-CN" w:bidi="ar-SA"/>
              </w:rPr>
            </w:pPr>
            <w:r>
              <w:rPr>
                <w:rFonts w:eastAsia="Times New Roman" w:cs="Arial" w:ascii="Verdana" w:hAnsi="Verdana"/>
                <w:b w:val="false"/>
                <w:bCs w:val="false"/>
                <w:color w:val="auto"/>
                <w:kern w:val="0"/>
                <w:sz w:val="20"/>
                <w:szCs w:val="20"/>
                <w:u w:val="none"/>
                <w:lang w:val="pt-BR" w:eastAsia="zh-CN" w:bidi="ar-SA"/>
              </w:rPr>
            </w:r>
          </w:p>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cs="Arial"/>
                <w:b w:val="false"/>
                <w:bCs w:val="false"/>
                <w:sz w:val="20"/>
                <w:szCs w:val="20"/>
                <w:u w:val="none"/>
              </w:rPr>
            </w:pPr>
            <w:r>
              <w:rPr>
                <w:rFonts w:cs="Arial" w:ascii="Verdana" w:hAnsi="Verdana"/>
                <w:b w:val="false"/>
                <w:bCs w:val="false"/>
                <w:sz w:val="20"/>
                <w:szCs w:val="20"/>
                <w:u w:val="none"/>
              </w:rPr>
            </w:r>
          </w:p>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R$ 212,70</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cs="Arial"/>
                <w:b w:val="false"/>
                <w:bCs w:val="false"/>
                <w:sz w:val="20"/>
                <w:szCs w:val="20"/>
                <w:u w:val="none"/>
              </w:rPr>
            </w:pPr>
            <w:r>
              <w:rPr>
                <w:rFonts w:cs="Arial" w:ascii="Verdana" w:hAnsi="Verdana"/>
                <w:b w:val="false"/>
                <w:bCs w:val="false"/>
                <w:sz w:val="20"/>
                <w:szCs w:val="20"/>
                <w:u w:val="none"/>
              </w:rPr>
            </w:r>
          </w:p>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R$ 13.780,00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12</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Estação de trabalho com 03 lugares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Sem divisórias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Características: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mesa suporta até 100kg</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tampo em mdp 25 mm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pés metal com regulagem de altura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- 3 caixas de tomada inclusas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bordas arredondadas de 2 mm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acabamento em bp</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linha alto padrão</w:t>
            </w:r>
          </w:p>
          <w:p>
            <w:pPr>
              <w:pStyle w:val="Contedodatabela"/>
              <w:widowControl w:val="false"/>
              <w:tabs>
                <w:tab w:val="clear" w:pos="708"/>
              </w:tabs>
              <w:spacing w:lineRule="auto" w:line="240"/>
              <w:jc w:val="both"/>
              <w:rPr>
                <w:rFonts w:ascii="Verdana" w:hAnsi="Verdana" w:eastAsia="Times New Roman" w:cs="Times New Roman"/>
                <w:sz w:val="20"/>
                <w:szCs w:val="20"/>
                <w:lang w:eastAsia="zh-CN"/>
              </w:rPr>
            </w:pPr>
            <w:r>
              <w:rPr>
                <w:rFonts w:eastAsia="Times New Roman" w:cs="Times New Roman" w:ascii="Verdana" w:hAnsi="Verdana"/>
                <w:sz w:val="20"/>
                <w:szCs w:val="20"/>
                <w:lang w:eastAsia="zh-CN"/>
              </w:rPr>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Dimensões mesa montada: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largura: 270 cm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profundidade: 60 cm</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altura: 74 cm</w:t>
            </w:r>
          </w:p>
          <w:p>
            <w:pPr>
              <w:pStyle w:val="Contedodatabela"/>
              <w:widowControl w:val="false"/>
              <w:tabs>
                <w:tab w:val="clear" w:pos="708"/>
              </w:tabs>
              <w:spacing w:lineRule="auto" w:line="240"/>
              <w:jc w:val="both"/>
              <w:rPr>
                <w:rFonts w:ascii="Verdana" w:hAnsi="Verdana" w:eastAsia="Times New Roman" w:cs="Times New Roman"/>
                <w:sz w:val="20"/>
                <w:szCs w:val="20"/>
                <w:lang w:eastAsia="zh-CN"/>
              </w:rPr>
            </w:pPr>
            <w:r>
              <w:rPr>
                <w:rFonts w:eastAsia="Times New Roman" w:cs="Times New Roman" w:ascii="Verdana" w:hAnsi="Verdana"/>
                <w:sz w:val="20"/>
                <w:szCs w:val="20"/>
                <w:lang w:eastAsia="zh-CN"/>
              </w:rPr>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Material:</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 possui estrutura em mdp -com maior</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Resistência à umidade;</w:t>
            </w:r>
          </w:p>
          <w:p>
            <w:pPr>
              <w:pStyle w:val="Contedodatabela"/>
              <w:widowControl w:val="false"/>
              <w:tabs>
                <w:tab w:val="clear" w:pos="708"/>
              </w:tabs>
              <w:spacing w:lineRule="auto" w:line="240"/>
              <w:jc w:val="both"/>
              <w:rPr>
                <w:rFonts w:ascii="Verdana" w:hAnsi="Verdana" w:eastAsia="Times New Roman" w:cs="Times New Roman"/>
                <w:sz w:val="20"/>
                <w:szCs w:val="20"/>
                <w:lang w:eastAsia="zh-CN"/>
              </w:rPr>
            </w:pPr>
            <w:r>
              <w:rPr>
                <w:rFonts w:eastAsia="Times New Roman" w:cs="Times New Roman" w:ascii="Verdana" w:hAnsi="Verdana"/>
                <w:sz w:val="20"/>
                <w:szCs w:val="20"/>
                <w:lang w:eastAsia="zh-CN"/>
              </w:rPr>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Acabamento:</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Melamínico de baixa pressão bp:</w:t>
            </w:r>
          </w:p>
          <w:p>
            <w:pPr>
              <w:pStyle w:val="Contedodatabela"/>
              <w:widowControl w:val="false"/>
              <w:tabs>
                <w:tab w:val="clear" w:pos="708"/>
              </w:tabs>
              <w:spacing w:lineRule="auto" w:line="240"/>
              <w:jc w:val="both"/>
              <w:rPr>
                <w:rFonts w:ascii="Verdana" w:hAnsi="Verdana" w:eastAsia="Times New Roman" w:cs="Times New Roman"/>
                <w:sz w:val="20"/>
                <w:szCs w:val="20"/>
                <w:lang w:eastAsia="zh-CN"/>
              </w:rPr>
            </w:pPr>
            <w:r>
              <w:rPr>
                <w:rFonts w:eastAsia="Times New Roman" w:cs="Times New Roman" w:ascii="Verdana" w:hAnsi="Verdana"/>
                <w:sz w:val="20"/>
                <w:szCs w:val="20"/>
                <w:lang w:eastAsia="zh-CN"/>
              </w:rPr>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Cor cinza</w:t>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140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R$ 1.632,63</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R$ 228.568,20</w:t>
            </w:r>
          </w:p>
        </w:tc>
      </w:tr>
      <w:tr>
        <w:trPr>
          <w:trHeight w:val="269" w:hRule="atLeast"/>
        </w:trPr>
        <w:tc>
          <w:tcPr>
            <w:tcW w:w="73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13</w:t>
            </w:r>
          </w:p>
        </w:tc>
        <w:tc>
          <w:tcPr>
            <w:tcW w:w="3624"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Mesa para refeitório 10 lugares em Mdf 18 mm de espessura, borda em perfil De pvc de 30 mm revestido em fórmica na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Cor branca, bege, off white, cinza claro. Com 02 bancos inteiriços sem encosto Revestido em fórmica na mesma cor da Mesa</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Medidas:</w:t>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*mesa: 3,00x0,80x0,77</w:t>
            </w:r>
          </w:p>
          <w:p>
            <w:pPr>
              <w:pStyle w:val="Contedodatabela"/>
              <w:widowControl w:val="false"/>
              <w:tabs>
                <w:tab w:val="clear" w:pos="708"/>
              </w:tabs>
              <w:spacing w:lineRule="auto" w:line="240"/>
              <w:jc w:val="both"/>
              <w:rPr>
                <w:rFonts w:ascii="Verdana" w:hAnsi="Verdana" w:eastAsia="Times New Roman" w:cs="Times New Roman"/>
                <w:sz w:val="20"/>
                <w:szCs w:val="20"/>
                <w:lang w:eastAsia="zh-CN"/>
              </w:rPr>
            </w:pPr>
            <w:r>
              <w:rPr>
                <w:rFonts w:eastAsia="Times New Roman" w:cs="Times New Roman" w:ascii="Verdana" w:hAnsi="Verdana"/>
                <w:sz w:val="20"/>
                <w:szCs w:val="20"/>
                <w:lang w:eastAsia="zh-CN"/>
              </w:rPr>
            </w:r>
          </w:p>
          <w:p>
            <w:pPr>
              <w:pStyle w:val="Contedodatabela"/>
              <w:widowControl w:val="false"/>
              <w:tabs>
                <w:tab w:val="clear" w:pos="708"/>
              </w:tabs>
              <w:spacing w:lineRule="auto" w:line="240"/>
              <w:jc w:val="both"/>
              <w:rPr>
                <w:rFonts w:ascii="Verdana" w:hAnsi="Verdana"/>
                <w:sz w:val="20"/>
                <w:szCs w:val="20"/>
              </w:rPr>
            </w:pPr>
            <w:r>
              <w:rPr>
                <w:rFonts w:eastAsia="Times New Roman" w:cs="Times New Roman" w:ascii="Verdana" w:hAnsi="Verdana"/>
                <w:sz w:val="20"/>
                <w:szCs w:val="20"/>
                <w:lang w:eastAsia="zh-CN"/>
              </w:rPr>
              <w:t>*assentos medidas: 3,00m x 0,30cm</w:t>
            </w:r>
          </w:p>
          <w:p>
            <w:pPr>
              <w:pStyle w:val="Contedodatabela"/>
              <w:widowControl w:val="false"/>
              <w:tabs>
                <w:tab w:val="clear" w:pos="708"/>
              </w:tabs>
              <w:spacing w:lineRule="auto" w:line="240"/>
              <w:jc w:val="both"/>
              <w:rPr>
                <w:rFonts w:ascii="Verdana" w:hAnsi="Verdana" w:eastAsia="Times New Roman" w:cs="Times New Roman"/>
                <w:sz w:val="20"/>
                <w:szCs w:val="20"/>
                <w:lang w:eastAsia="zh-CN"/>
              </w:rPr>
            </w:pPr>
            <w:r>
              <w:rPr>
                <w:rFonts w:eastAsia="Times New Roman" w:cs="Times New Roman" w:ascii="Verdana" w:hAnsi="Verdana"/>
                <w:sz w:val="20"/>
                <w:szCs w:val="20"/>
                <w:lang w:eastAsia="zh-CN"/>
              </w:rPr>
            </w:r>
          </w:p>
        </w:tc>
        <w:tc>
          <w:tcPr>
            <w:tcW w:w="958"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eastAsia="Times New Roman" w:cs="Arial"/>
                <w:b w:val="false"/>
                <w:bCs w:val="false"/>
                <w:color w:val="auto"/>
                <w:kern w:val="0"/>
                <w:sz w:val="20"/>
                <w:szCs w:val="20"/>
                <w:u w:val="none"/>
                <w:lang w:val="pt-BR" w:eastAsia="pt-BR" w:bidi="ar-SA"/>
              </w:rPr>
            </w:pPr>
            <w:r>
              <w:rPr>
                <w:rFonts w:eastAsia="Times New Roman" w:cs="Arial" w:ascii="Verdana" w:hAnsi="Verdana"/>
                <w:b w:val="false"/>
                <w:bCs w:val="false"/>
                <w:color w:val="auto"/>
                <w:kern w:val="0"/>
                <w:sz w:val="20"/>
                <w:szCs w:val="20"/>
                <w:u w:val="none"/>
                <w:lang w:val="pt-BR" w:eastAsia="pt-BR" w:bidi="ar-SA"/>
              </w:rPr>
            </w:r>
          </w:p>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pt-BR" w:bidi="ar-SA"/>
              </w:rPr>
              <w:t>30</w:t>
            </w:r>
          </w:p>
        </w:tc>
        <w:tc>
          <w:tcPr>
            <w:tcW w:w="1149" w:type="dxa"/>
            <w:tcBorders>
              <w:left w:val="single" w:sz="4" w:space="0" w:color="000000"/>
              <w:bottom w:val="single" w:sz="4" w:space="0" w:color="000000"/>
            </w:tcBorders>
            <w:vAlign w:val="center"/>
          </w:tcPr>
          <w:p>
            <w:pPr>
              <w:pStyle w:val="Contedodatabela"/>
              <w:widowControl w:val="false"/>
              <w:tabs>
                <w:tab w:val="clear" w:pos="708"/>
              </w:tabs>
              <w:spacing w:lineRule="auto" w:line="240"/>
              <w:jc w:val="center"/>
              <w:rPr>
                <w:rFonts w:ascii="Verdana" w:hAnsi="Verdana" w:eastAsia="Times New Roman" w:cs="Arial"/>
                <w:b w:val="false"/>
                <w:bCs w:val="false"/>
                <w:color w:val="auto"/>
                <w:kern w:val="0"/>
                <w:sz w:val="20"/>
                <w:szCs w:val="20"/>
                <w:u w:val="none"/>
                <w:lang w:val="pt-BR" w:eastAsia="zh-CN" w:bidi="ar-SA"/>
              </w:rPr>
            </w:pPr>
            <w:r>
              <w:rPr>
                <w:rFonts w:eastAsia="Times New Roman" w:cs="Arial" w:ascii="Verdana" w:hAnsi="Verdana"/>
                <w:b w:val="false"/>
                <w:bCs w:val="false"/>
                <w:color w:val="auto"/>
                <w:kern w:val="0"/>
                <w:sz w:val="20"/>
                <w:szCs w:val="20"/>
                <w:u w:val="none"/>
                <w:lang w:val="pt-BR" w:eastAsia="zh-CN" w:bidi="ar-SA"/>
              </w:rPr>
            </w:r>
          </w:p>
          <w:p>
            <w:pPr>
              <w:pStyle w:val="Contedodatabela"/>
              <w:widowControl w:val="false"/>
              <w:tabs>
                <w:tab w:val="clear" w:pos="708"/>
              </w:tabs>
              <w:spacing w:lineRule="auto" w:line="240"/>
              <w:jc w:val="center"/>
              <w:rPr>
                <w:rFonts w:ascii="Verdana" w:hAnsi="Verdana"/>
                <w:sz w:val="20"/>
                <w:szCs w:val="20"/>
              </w:rPr>
            </w:pPr>
            <w:r>
              <w:rPr>
                <w:rFonts w:eastAsia="Times New Roman" w:cs="Arial" w:ascii="Verdana" w:hAnsi="Verdana"/>
                <w:b w:val="false"/>
                <w:bCs w:val="false"/>
                <w:color w:val="auto"/>
                <w:kern w:val="0"/>
                <w:sz w:val="20"/>
                <w:szCs w:val="20"/>
                <w:u w:val="none"/>
                <w:lang w:val="pt-BR" w:eastAsia="zh-CN" w:bidi="ar-SA"/>
              </w:rPr>
              <w:t>Unid.</w:t>
            </w:r>
          </w:p>
        </w:tc>
        <w:tc>
          <w:tcPr>
            <w:tcW w:w="1410"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cs="Arial"/>
                <w:b w:val="false"/>
                <w:bCs w:val="false"/>
                <w:sz w:val="20"/>
                <w:szCs w:val="20"/>
                <w:u w:val="none"/>
              </w:rPr>
            </w:pPr>
            <w:r>
              <w:rPr>
                <w:rFonts w:cs="Arial" w:ascii="Verdana" w:hAnsi="Verdana"/>
                <w:b w:val="false"/>
                <w:bCs w:val="false"/>
                <w:sz w:val="20"/>
                <w:szCs w:val="20"/>
                <w:u w:val="none"/>
              </w:rPr>
            </w:r>
          </w:p>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R$ 1.730,66</w:t>
            </w:r>
          </w:p>
        </w:tc>
        <w:tc>
          <w:tcPr>
            <w:tcW w:w="1664" w:type="dxa"/>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40"/>
              <w:jc w:val="center"/>
              <w:rPr>
                <w:rFonts w:ascii="Verdana" w:hAnsi="Verdana" w:cs="Arial"/>
                <w:b w:val="false"/>
                <w:bCs w:val="false"/>
                <w:sz w:val="20"/>
                <w:szCs w:val="20"/>
                <w:u w:val="none"/>
              </w:rPr>
            </w:pPr>
            <w:r>
              <w:rPr>
                <w:rFonts w:cs="Arial" w:ascii="Verdana" w:hAnsi="Verdana"/>
                <w:b w:val="false"/>
                <w:bCs w:val="false"/>
                <w:sz w:val="20"/>
                <w:szCs w:val="20"/>
                <w:u w:val="none"/>
              </w:rPr>
            </w:r>
          </w:p>
          <w:p>
            <w:pPr>
              <w:pStyle w:val="Normal"/>
              <w:widowControl w:val="false"/>
              <w:tabs>
                <w:tab w:val="clear" w:pos="708"/>
              </w:tabs>
              <w:spacing w:lineRule="auto" w:line="240"/>
              <w:jc w:val="center"/>
              <w:rPr>
                <w:rFonts w:ascii="Verdana" w:hAnsi="Verdana"/>
                <w:sz w:val="20"/>
                <w:szCs w:val="20"/>
              </w:rPr>
            </w:pPr>
            <w:r>
              <w:rPr>
                <w:rFonts w:cs="Arial" w:ascii="Verdana" w:hAnsi="Verdana"/>
                <w:b w:val="false"/>
                <w:bCs w:val="false"/>
                <w:sz w:val="20"/>
                <w:szCs w:val="20"/>
                <w:u w:val="none"/>
              </w:rPr>
              <w:t>R$ 51.919,80</w:t>
            </w:r>
          </w:p>
        </w:tc>
      </w:tr>
      <w:tr>
        <w:trPr>
          <w:trHeight w:val="867" w:hRule="atLeast"/>
        </w:trPr>
        <w:tc>
          <w:tcPr>
            <w:tcW w:w="9539" w:type="dxa"/>
            <w:gridSpan w:val="6"/>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40" w:before="0" w:after="0"/>
              <w:jc w:val="both"/>
              <w:rPr>
                <w:rFonts w:ascii="Verdana" w:hAnsi="Verdana" w:cs="Arial"/>
                <w:b/>
                <w:sz w:val="20"/>
                <w:szCs w:val="20"/>
                <w:u w:val="single"/>
              </w:rPr>
            </w:pPr>
            <w:r>
              <w:rPr>
                <w:rFonts w:cs="Arial" w:ascii="Verdana" w:hAnsi="Verdana"/>
                <w:b/>
                <w:sz w:val="20"/>
                <w:szCs w:val="20"/>
                <w:u w:val="single"/>
              </w:rPr>
            </w:r>
          </w:p>
          <w:p>
            <w:pPr>
              <w:pStyle w:val="Normal"/>
              <w:widowControl w:val="false"/>
              <w:tabs>
                <w:tab w:val="clear" w:pos="708"/>
              </w:tabs>
              <w:spacing w:lineRule="auto" w:line="240"/>
              <w:jc w:val="both"/>
              <w:rPr>
                <w:rFonts w:ascii="Verdana" w:hAnsi="Verdana"/>
                <w:sz w:val="20"/>
                <w:szCs w:val="20"/>
              </w:rPr>
            </w:pPr>
            <w:r>
              <w:rPr>
                <w:rFonts w:cs="Arial" w:ascii="Verdana" w:hAnsi="Verdana"/>
                <w:b/>
                <w:bCs/>
                <w:sz w:val="20"/>
                <w:szCs w:val="20"/>
              </w:rPr>
              <w:t>VALOR ESTIMADO TOTAL: R$ 1</w:t>
            </w:r>
            <w:r>
              <w:rPr>
                <w:rFonts w:eastAsia="Times New Roman" w:cs="Arial" w:ascii="Verdana" w:hAnsi="Verdana"/>
                <w:b/>
                <w:bCs/>
                <w:color w:val="000000"/>
                <w:sz w:val="20"/>
                <w:szCs w:val="20"/>
                <w:lang w:eastAsia="zh-CN"/>
              </w:rPr>
              <w:t>.372.114,70 (um milhão trezentos e setenta e dois mil cento e quatorze reais e setenta centavos)</w:t>
            </w:r>
          </w:p>
        </w:tc>
      </w:tr>
    </w:tbl>
    <w:p>
      <w:pPr>
        <w:pStyle w:val="Normal"/>
        <w:widowControl w:val="false"/>
        <w:tabs>
          <w:tab w:val="clear" w:pos="708"/>
          <w:tab w:val="left" w:pos="0" w:leader="none"/>
        </w:tabs>
        <w:suppressAutoHyphens w:val="false"/>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uppressAutoHyphens w:val="false"/>
        <w:spacing w:lineRule="auto" w:line="240"/>
        <w:ind w:left="-22" w:right="0" w:hanging="0"/>
        <w:jc w:val="both"/>
        <w:rPr>
          <w:rFonts w:ascii="Verdana" w:hAnsi="Verdana"/>
          <w:sz w:val="20"/>
          <w:szCs w:val="20"/>
        </w:rPr>
      </w:pPr>
      <w:r>
        <w:rPr>
          <w:rFonts w:ascii="Verdana" w:hAnsi="Verdana"/>
          <w:b w:val="false"/>
          <w:bCs w:val="false"/>
          <w:iCs/>
          <w:sz w:val="20"/>
          <w:szCs w:val="20"/>
        </w:rPr>
        <w:t>1.2</w:t>
      </w:r>
      <w:bookmarkStart w:id="0" w:name="art23§712"/>
      <w:r>
        <w:rPr>
          <w:rFonts w:ascii="Verdana" w:hAnsi="Verdana"/>
          <w:b w:val="false"/>
          <w:bCs w:val="false"/>
          <w:iCs/>
          <w:sz w:val="20"/>
          <w:szCs w:val="20"/>
        </w:rPr>
        <w:t>. Os produtos/equipamentos propostos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40"/>
        <w:ind w:left="-22" w:right="0" w:hanging="0"/>
        <w:jc w:val="both"/>
        <w:rPr>
          <w:rFonts w:ascii="Verdana" w:hAnsi="Verdana"/>
          <w:sz w:val="20"/>
          <w:szCs w:val="20"/>
        </w:rPr>
      </w:pPr>
      <w:r>
        <w:rPr>
          <w:rFonts w:ascii="Verdana" w:hAnsi="Verdana"/>
          <w:b w:val="false"/>
          <w:bCs w:val="false"/>
          <w:iCs/>
          <w:sz w:val="20"/>
          <w:szCs w:val="20"/>
        </w:rPr>
        <w:t>1.3.</w:t>
      </w:r>
      <w:r>
        <w:rPr>
          <w:rFonts w:ascii="Verdana" w:hAnsi="Verdana"/>
          <w:b w:val="false"/>
          <w:bCs w:val="false"/>
          <w:iCs/>
          <w:sz w:val="20"/>
          <w:szCs w:val="20"/>
          <w:u w:val="none"/>
        </w:rPr>
        <w:t xml:space="preserve"> </w:t>
      </w:r>
      <w:r>
        <w:rPr>
          <w:rFonts w:cs="Arial" w:ascii="Verdana" w:hAnsi="Verdana"/>
          <w:b w:val="false"/>
          <w:bCs w:val="false"/>
          <w:iCs/>
          <w:color w:val="000000"/>
          <w:sz w:val="20"/>
          <w:szCs w:val="20"/>
          <w:u w:val="none"/>
        </w:rPr>
        <w:t xml:space="preserve">O prazo de vigência da </w:t>
      </w:r>
      <w:r>
        <w:rPr>
          <w:rFonts w:eastAsia="Times New Roman" w:cs="Arial" w:ascii="Verdana" w:hAnsi="Verdana"/>
          <w:b w:val="false"/>
          <w:bCs w:val="false"/>
          <w:iCs/>
          <w:color w:val="000000"/>
          <w:sz w:val="20"/>
          <w:szCs w:val="20"/>
          <w:u w:val="none"/>
        </w:rPr>
        <w:t>aquisição</w:t>
      </w:r>
      <w:r>
        <w:rPr>
          <w:rFonts w:cs="Arial" w:ascii="Verdana" w:hAnsi="Verdana"/>
          <w:b w:val="false"/>
          <w:bCs w:val="false"/>
          <w:iCs/>
          <w:color w:val="000000"/>
          <w:sz w:val="20"/>
          <w:szCs w:val="20"/>
          <w:u w:val="none"/>
        </w:rPr>
        <w:t xml:space="preserve"> será de 12 (</w:t>
      </w:r>
      <w:r>
        <w:rPr>
          <w:rFonts w:eastAsia="Times New Roman" w:cs="Arial" w:ascii="Verdana" w:hAnsi="Verdana"/>
          <w:b w:val="false"/>
          <w:bCs w:val="false"/>
          <w:iCs/>
          <w:color w:val="000000"/>
          <w:sz w:val="20"/>
          <w:szCs w:val="20"/>
          <w:u w:val="none"/>
        </w:rPr>
        <w:t>meses</w:t>
      </w:r>
      <w:r>
        <w:rPr>
          <w:rFonts w:cs="Arial" w:ascii="Verdana" w:hAnsi="Verdana"/>
          <w:b w:val="false"/>
          <w:bCs w:val="false"/>
          <w:iCs/>
          <w:color w:val="000000"/>
          <w:sz w:val="20"/>
          <w:szCs w:val="20"/>
          <w:u w:val="none"/>
        </w:rPr>
        <w:t xml:space="preserve">) </w:t>
      </w:r>
      <w:r>
        <w:rPr>
          <w:rFonts w:cs="Arial" w:ascii="Verdana" w:hAnsi="Verdana"/>
          <w:b w:val="false"/>
          <w:bCs w:val="false"/>
          <w:iCs/>
          <w:color w:val="FF0000"/>
          <w:sz w:val="20"/>
          <w:szCs w:val="20"/>
          <w:u w:val="none"/>
        </w:rPr>
        <w:t xml:space="preserve"> </w:t>
      </w:r>
      <w:r>
        <w:rPr>
          <w:rFonts w:cs="Arial" w:ascii="Verdana" w:hAnsi="Verdana"/>
          <w:b w:val="false"/>
          <w:bCs w:val="false"/>
          <w:iCs/>
          <w:color w:val="000000"/>
          <w:sz w:val="20"/>
          <w:szCs w:val="20"/>
          <w:u w:val="none"/>
        </w:rPr>
        <w:t>contados a partir da assinatura da Ata de Registro de Preços.</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1.4. O custo estimado total da aquisição é de</w:t>
      </w:r>
      <w:r>
        <w:rPr>
          <w:rFonts w:eastAsia="Times New Roman" w:cs="Times New Roman" w:ascii="Verdana" w:hAnsi="Verdana"/>
          <w:b w:val="false"/>
          <w:bCs w:val="false"/>
          <w:i/>
          <w:iCs/>
          <w:color w:val="FF0000"/>
          <w:sz w:val="20"/>
          <w:szCs w:val="20"/>
        </w:rPr>
        <w:t xml:space="preserve"> </w:t>
      </w:r>
      <w:r>
        <w:rPr>
          <w:rFonts w:eastAsia="Times New Roman" w:cs="Arial" w:ascii="Verdana" w:hAnsi="Verdana"/>
          <w:b w:val="false"/>
          <w:bCs w:val="false"/>
          <w:i w:val="false"/>
          <w:iCs w:val="false"/>
          <w:color w:val="000000"/>
          <w:sz w:val="20"/>
          <w:szCs w:val="20"/>
          <w:lang w:eastAsia="zh-CN"/>
        </w:rPr>
        <w:t>R$ 1.372.114,70 (um milhão trezentos e setenta e dois mil cento e quatorze reais e setenta centavos)</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orçamentos e no quadro comparativo de preços simples e</w:t>
      </w:r>
      <w:r>
        <w:rPr>
          <w:rFonts w:eastAsia="Times New Roman" w:cs="Times New Roman" w:ascii="Verdana" w:hAnsi="Verdana"/>
          <w:iCs/>
          <w:color w:val="000000"/>
          <w:sz w:val="20"/>
          <w:szCs w:val="20"/>
        </w:rPr>
        <w:t>m anexo.</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ascii="Verdana" w:hAnsi="Verdana"/>
          <w:b w:val="false"/>
          <w:bCs w:val="false"/>
          <w:sz w:val="20"/>
          <w:szCs w:val="20"/>
          <w:u w:val="none"/>
        </w:rPr>
        <w:t xml:space="preserve">1.5. </w:t>
      </w:r>
      <w:r>
        <w:rPr>
          <w:rFonts w:eastAsia="Times New Roman" w:cs="Times New Roman" w:ascii="Verdana" w:hAnsi="Verdana"/>
          <w:b w:val="false"/>
          <w:bCs w:val="false"/>
          <w:color w:val="000000"/>
          <w:sz w:val="20"/>
          <w:szCs w:val="20"/>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40"/>
        <w:ind w:left="0" w:right="0" w:hanging="0"/>
        <w:jc w:val="both"/>
        <w:rPr>
          <w:rFonts w:ascii="Verdana" w:hAnsi="Verdana"/>
          <w:sz w:val="20"/>
          <w:szCs w:val="20"/>
        </w:rPr>
      </w:pPr>
      <w:r>
        <w:rPr>
          <w:rFonts w:eastAsia="Times New Roman" w:cs="Arial" w:ascii="Verdana" w:hAnsi="Verdana"/>
          <w:b w:val="false"/>
          <w:bCs w:val="false"/>
          <w:color w:val="000000"/>
          <w:sz w:val="20"/>
          <w:szCs w:val="20"/>
          <w:u w:val="none"/>
        </w:rPr>
        <w:t>1.6. Trata-se de bens comuns a ser adquirido mediante registro de preços.</w:t>
      </w:r>
    </w:p>
    <w:p>
      <w:pPr>
        <w:pStyle w:val="ListParagraph"/>
        <w:tabs>
          <w:tab w:val="clear" w:pos="708"/>
          <w:tab w:val="left" w:pos="0" w:leader="none"/>
        </w:tabs>
        <w:suppressAutoHyphens w:val="false"/>
        <w:spacing w:lineRule="auto" w:line="240"/>
        <w:ind w:left="0" w:right="0" w:hanging="0"/>
        <w:jc w:val="both"/>
        <w:rPr>
          <w:rFonts w:ascii="Verdana" w:hAnsi="Verdana" w:cs="Arial"/>
          <w:b w:val="false"/>
          <w:bCs w:val="false"/>
          <w:sz w:val="20"/>
          <w:szCs w:val="20"/>
          <w:u w:val="none"/>
        </w:rPr>
      </w:pPr>
      <w:r>
        <w:rPr>
          <w:rFonts w:cs="Arial" w:ascii="Verdana" w:hAnsi="Verdana"/>
          <w:b w:val="false"/>
          <w:bCs w:val="false"/>
          <w:sz w:val="20"/>
          <w:szCs w:val="20"/>
          <w:u w:val="none"/>
        </w:rPr>
      </w:r>
    </w:p>
    <w:p>
      <w:pPr>
        <w:pStyle w:val="Nivel1"/>
        <w:spacing w:lineRule="auto" w:line="240" w:before="0" w:after="0"/>
        <w:ind w:left="0" w:right="0" w:hanging="0"/>
        <w:rPr>
          <w:rFonts w:ascii="Verdana" w:hAnsi="Verdana"/>
          <w:sz w:val="20"/>
          <w:szCs w:val="20"/>
        </w:rPr>
      </w:pPr>
      <w:r>
        <w:rPr>
          <w:rFonts w:cs="Times New Roman" w:ascii="Verdana" w:hAnsi="Verdana"/>
          <w:bCs/>
          <w:sz w:val="20"/>
          <w:szCs w:val="20"/>
        </w:rPr>
        <w:t>2. FUNDAMENTAÇÃO E DESCRIÇÃO DA NECESSIDADE DA AQUISIÇÃO</w:t>
      </w:r>
      <w:bookmarkStart w:id="2" w:name="art23§71"/>
      <w:bookmarkStart w:id="3" w:name="art23§73"/>
    </w:p>
    <w:p>
      <w:pPr>
        <w:pStyle w:val="Normal"/>
        <w:widowControl/>
        <w:suppressAutoHyphens w:val="true"/>
        <w:bidi w:val="0"/>
        <w:spacing w:lineRule="auto" w:line="240" w:before="0" w:after="0"/>
        <w:ind w:left="0" w:right="0" w:hanging="0"/>
        <w:contextualSpacing/>
        <w:jc w:val="both"/>
        <w:rPr>
          <w:rFonts w:ascii="Verdana" w:hAnsi="Verdana"/>
          <w:sz w:val="20"/>
          <w:szCs w:val="20"/>
        </w:rPr>
      </w:pPr>
      <w:r>
        <w:rPr>
          <w:rFonts w:cs="Arial" w:ascii="Verdana" w:hAnsi="Verdana"/>
          <w:b w:val="false"/>
          <w:bCs w:val="false"/>
          <w:sz w:val="20"/>
          <w:szCs w:val="20"/>
        </w:rPr>
        <w:t xml:space="preserve">2.1. Os materiais e equipamentos indicados neste estudo são objeto de necessidade nos setores da Secretaria de Assistência Social, secretarias e unidades administrativas desta prefeitura, visando otimizar atendimento, proporcionar melhor ambiente de trabalho, promover qualidade de vida dos servidores e agilidade nas atividades realizadas.    </w:t>
      </w:r>
      <w:r>
        <w:rPr>
          <w:rFonts w:cs="Arial" w:ascii="Verdana" w:hAnsi="Verdana"/>
          <w:b/>
          <w:bCs/>
          <w:sz w:val="20"/>
          <w:szCs w:val="20"/>
        </w:rPr>
        <w:t xml:space="preserve"> </w:t>
      </w:r>
    </w:p>
    <w:p>
      <w:pPr>
        <w:pStyle w:val="ListParagraph"/>
        <w:widowControl/>
        <w:suppressAutoHyphens w:val="true"/>
        <w:bidi w:val="0"/>
        <w:spacing w:lineRule="auto" w:line="240" w:before="0" w:after="0"/>
        <w:ind w:left="0" w:right="0" w:hanging="0"/>
        <w:contextualSpacing/>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2.2.</w:t>
      </w:r>
      <w:r>
        <w:rPr>
          <w:rFonts w:cs="Arial" w:ascii="Verdana" w:hAnsi="Verdana"/>
          <w:b w:val="false"/>
          <w:bCs w:val="false"/>
          <w:sz w:val="20"/>
          <w:szCs w:val="20"/>
        </w:rPr>
        <w:t xml:space="preserve"> </w:t>
      </w:r>
      <w:r>
        <w:rPr>
          <w:rFonts w:eastAsia="Calibri" w:cs="Arial" w:ascii="Verdana" w:hAnsi="Verdana"/>
          <w:b w:val="false"/>
          <w:bCs w:val="false"/>
          <w:color w:val="auto"/>
          <w:kern w:val="0"/>
          <w:sz w:val="20"/>
          <w:szCs w:val="20"/>
          <w:lang w:val="pt-BR" w:eastAsia="zh-CN" w:bidi="ar-SA"/>
        </w:rPr>
        <w:t>Os equipamentos e materiais permanentes serão incluídos no patrimônio público da Secretaria Municipal de Assistência, Desenvolvimento Social e Família, valorizando o trabalho desenvolvido.</w:t>
      </w:r>
    </w:p>
    <w:p>
      <w:pPr>
        <w:pStyle w:val="ListParagraph"/>
        <w:widowControl/>
        <w:suppressAutoHyphens w:val="true"/>
        <w:bidi w:val="0"/>
        <w:spacing w:lineRule="auto" w:line="240" w:before="0" w:after="0"/>
        <w:ind w:left="0" w:right="0" w:hanging="0"/>
        <w:contextualSpacing/>
        <w:jc w:val="both"/>
        <w:rPr>
          <w:rFonts w:ascii="Verdana" w:hAnsi="Verdana"/>
          <w:sz w:val="20"/>
          <w:szCs w:val="20"/>
        </w:rPr>
      </w:pPr>
      <w:r>
        <w:rPr>
          <w:rFonts w:eastAsia="Calibri" w:cs="Arial" w:ascii="Verdana" w:hAnsi="Verdana"/>
          <w:b w:val="false"/>
          <w:bCs w:val="false"/>
          <w:color w:val="auto"/>
          <w:kern w:val="0"/>
          <w:sz w:val="20"/>
          <w:szCs w:val="20"/>
          <w:lang w:val="pt-BR" w:eastAsia="zh-CN" w:bidi="ar-SA"/>
        </w:rPr>
        <w:t>2.3. Há previsão de recebimento de recursos por meio de emendas parlamentares para aquisição dos itens, porém como o recurso financeiro não chegou até os cofres municipais, o registro de preços se mostra a solução mais vantajosa para o procedimento. Há ainda, orçamento vigente nas demais secretarias.</w:t>
      </w:r>
    </w:p>
    <w:p>
      <w:pPr>
        <w:pStyle w:val="ListParagraph"/>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ListParagraph"/>
        <w:spacing w:lineRule="auto" w:line="240"/>
        <w:ind w:left="0" w:right="0" w:hanging="0"/>
        <w:jc w:val="both"/>
        <w:rPr>
          <w:rFonts w:ascii="Verdana" w:hAnsi="Verdana"/>
          <w:sz w:val="20"/>
          <w:szCs w:val="20"/>
        </w:rPr>
      </w:pPr>
      <w:r>
        <w:rPr>
          <w:rFonts w:ascii="Verdana" w:hAnsi="Verdana"/>
          <w:b/>
          <w:bCs/>
          <w:sz w:val="20"/>
          <w:szCs w:val="20"/>
        </w:rPr>
        <w:t>3. DESCRIÇÃO DA SOLUÇÃO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 xml:space="preserve">3.1 A solução a ser adotada consiste no registro de preços de móveis de escritório para a Secretaria de Assistência Social e seus </w:t>
      </w:r>
      <w:r>
        <w:rPr>
          <w:rFonts w:eastAsia="Times New Roman" w:cs="Arial" w:ascii="Verdana" w:hAnsi="Verdana"/>
          <w:b w:val="false"/>
          <w:bCs w:val="false"/>
          <w:color w:val="000000"/>
          <w:kern w:val="0"/>
          <w:sz w:val="20"/>
          <w:szCs w:val="20"/>
          <w:shd w:fill="auto" w:val="clear"/>
          <w:lang w:val="pt-BR" w:eastAsia="zh-CN" w:bidi="ar-SA"/>
        </w:rPr>
        <w:t>equipamentos e demais secretarias e unidades administrativas desta prefeitura,</w:t>
      </w:r>
      <w:r>
        <w:rPr>
          <w:rFonts w:cs="Arial" w:ascii="Verdana" w:hAnsi="Verdana"/>
          <w:b w:val="false"/>
          <w:bCs w:val="false"/>
          <w:sz w:val="20"/>
          <w:szCs w:val="20"/>
          <w:shd w:fill="auto" w:val="clear"/>
        </w:rPr>
        <w:t xml:space="preserve"> melhorante a qualidade de atendimento, proporcionando melhores condições de trabalho aos servidores.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 xml:space="preserve">3.2. Os </w:t>
      </w:r>
      <w:r>
        <w:rPr>
          <w:rFonts w:eastAsia="Times New Roman" w:cs="Arial" w:ascii="Verdana" w:hAnsi="Verdana"/>
          <w:b w:val="false"/>
          <w:bCs w:val="false"/>
          <w:color w:val="000000"/>
          <w:kern w:val="0"/>
          <w:sz w:val="20"/>
          <w:szCs w:val="20"/>
          <w:shd w:fill="auto" w:val="clear"/>
          <w:lang w:val="pt-BR" w:eastAsia="zh-CN" w:bidi="ar-SA"/>
        </w:rPr>
        <w:t>materiais</w:t>
      </w:r>
      <w:r>
        <w:rPr>
          <w:rFonts w:cs="Arial" w:ascii="Verdana" w:hAnsi="Verdana"/>
          <w:b w:val="false"/>
          <w:bCs w:val="false"/>
          <w:sz w:val="20"/>
          <w:szCs w:val="20"/>
          <w:shd w:fill="auto" w:val="clear"/>
        </w:rPr>
        <w:t xml:space="preserve"> deverão ser </w:t>
      </w:r>
      <w:r>
        <w:rPr>
          <w:rFonts w:eastAsia="Times New Roman" w:cs="Arial" w:ascii="Verdana" w:hAnsi="Verdana"/>
          <w:b w:val="false"/>
          <w:bCs w:val="false"/>
          <w:color w:val="000000"/>
          <w:kern w:val="0"/>
          <w:sz w:val="20"/>
          <w:szCs w:val="20"/>
          <w:shd w:fill="auto" w:val="clear"/>
          <w:lang w:val="pt-BR" w:eastAsia="zh-CN" w:bidi="ar-SA"/>
        </w:rPr>
        <w:t>entregues</w:t>
      </w:r>
      <w:r>
        <w:rPr>
          <w:rFonts w:cs="Arial" w:ascii="Verdana" w:hAnsi="Verdana"/>
          <w:b w:val="false"/>
          <w:bCs w:val="false"/>
          <w:sz w:val="20"/>
          <w:szCs w:val="20"/>
          <w:shd w:fill="auto" w:val="clear"/>
        </w:rPr>
        <w:t xml:space="preserve"> respeitando as seguintes tarefas:</w:t>
      </w:r>
    </w:p>
    <w:p>
      <w:pPr>
        <w:pStyle w:val="Normal"/>
        <w:spacing w:lineRule="auto" w:line="240" w:before="0" w:after="0"/>
        <w:jc w:val="both"/>
        <w:rPr>
          <w:rFonts w:ascii="Verdana" w:hAnsi="Verdana"/>
          <w:b w:val="false"/>
          <w:bCs w:val="false"/>
          <w:sz w:val="20"/>
          <w:szCs w:val="20"/>
          <w:highlight w:val="none"/>
          <w:shd w:fill="auto" w:val="clear"/>
        </w:rPr>
      </w:pPr>
      <w:r>
        <w:rPr>
          <w:rFonts w:ascii="Verdana" w:hAnsi="Verdana"/>
          <w:b w:val="false"/>
          <w:bCs w:val="false"/>
          <w:sz w:val="20"/>
          <w:szCs w:val="20"/>
          <w:shd w:fill="auto" w:val="clear"/>
        </w:rPr>
      </w:r>
    </w:p>
    <w:tbl>
      <w:tblPr>
        <w:tblW w:w="5000" w:type="pct"/>
        <w:jc w:val="left"/>
        <w:tblInd w:w="55" w:type="dxa"/>
        <w:tblLayout w:type="fixed"/>
        <w:tblCellMar>
          <w:top w:w="55" w:type="dxa"/>
          <w:left w:w="55" w:type="dxa"/>
          <w:bottom w:w="55" w:type="dxa"/>
          <w:right w:w="55" w:type="dxa"/>
        </w:tblCellMar>
      </w:tblPr>
      <w:tblGrid>
        <w:gridCol w:w="367"/>
        <w:gridCol w:w="9116"/>
      </w:tblGrid>
      <w:tr>
        <w:trPr/>
        <w:tc>
          <w:tcPr>
            <w:tcW w:w="367" w:type="dxa"/>
            <w:tcBorders>
              <w:top w:val="single" w:sz="4" w:space="0" w:color="000000"/>
              <w:left w:val="single" w:sz="4" w:space="0" w:color="000000"/>
              <w:bottom w:val="single" w:sz="4" w:space="0" w:color="000000"/>
            </w:tcBorders>
          </w:tcPr>
          <w:p>
            <w:pPr>
              <w:pStyle w:val="Normal"/>
              <w:widowControl w:val="false"/>
              <w:spacing w:lineRule="auto" w:line="240" w:before="0" w:after="0"/>
              <w:jc w:val="both"/>
              <w:rPr>
                <w:rFonts w:ascii="Verdana" w:hAnsi="Verdana"/>
                <w:sz w:val="20"/>
                <w:szCs w:val="20"/>
              </w:rPr>
            </w:pPr>
            <w:r>
              <w:rPr>
                <w:rFonts w:ascii="Verdana" w:hAnsi="Verdana"/>
                <w:b w:val="false"/>
                <w:bCs w:val="false"/>
                <w:sz w:val="20"/>
                <w:szCs w:val="20"/>
                <w:shd w:fill="auto" w:val="clear"/>
              </w:rPr>
              <w:t>1</w:t>
            </w:r>
          </w:p>
        </w:tc>
        <w:tc>
          <w:tcPr>
            <w:tcW w:w="9116" w:type="dxa"/>
            <w:tcBorders>
              <w:top w:val="single" w:sz="4" w:space="0" w:color="000000"/>
              <w:bottom w:val="single" w:sz="4" w:space="0" w:color="000000"/>
              <w:right w:val="single" w:sz="4" w:space="0" w:color="000000"/>
            </w:tcBorders>
          </w:tcPr>
          <w:p>
            <w:pPr>
              <w:pStyle w:val="Normal"/>
              <w:widowControl w:val="false"/>
              <w:spacing w:lineRule="auto" w:line="240" w:before="0" w:after="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Transporte e logística dos produtos até o local de entrega;</w:t>
            </w:r>
          </w:p>
        </w:tc>
      </w:tr>
      <w:tr>
        <w:trPr/>
        <w:tc>
          <w:tcPr>
            <w:tcW w:w="367" w:type="dxa"/>
            <w:tcBorders>
              <w:left w:val="single" w:sz="4" w:space="0" w:color="000000"/>
              <w:bottom w:val="single" w:sz="4" w:space="0" w:color="000000"/>
            </w:tcBorders>
          </w:tcPr>
          <w:p>
            <w:pPr>
              <w:pStyle w:val="Normal"/>
              <w:widowControl w:val="false"/>
              <w:spacing w:lineRule="auto" w:line="240" w:before="0" w:after="0"/>
              <w:jc w:val="both"/>
              <w:rPr>
                <w:rFonts w:ascii="Verdana" w:hAnsi="Verdana"/>
                <w:sz w:val="20"/>
                <w:szCs w:val="20"/>
              </w:rPr>
            </w:pPr>
            <w:r>
              <w:rPr>
                <w:rFonts w:ascii="Verdana" w:hAnsi="Verdana"/>
                <w:b w:val="false"/>
                <w:bCs w:val="false"/>
                <w:sz w:val="20"/>
                <w:szCs w:val="20"/>
                <w:shd w:fill="auto" w:val="clear"/>
              </w:rPr>
              <w:t>2</w:t>
            </w:r>
          </w:p>
        </w:tc>
        <w:tc>
          <w:tcPr>
            <w:tcW w:w="9116" w:type="dxa"/>
            <w:tcBorders>
              <w:bottom w:val="single" w:sz="4" w:space="0" w:color="000000"/>
              <w:right w:val="single" w:sz="4" w:space="0" w:color="000000"/>
            </w:tcBorders>
          </w:tcPr>
          <w:p>
            <w:pPr>
              <w:pStyle w:val="Normal"/>
              <w:widowControl w:val="false"/>
              <w:spacing w:lineRule="auto" w:line="240" w:before="0" w:after="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Obedecer ao prazo de entrega determinado.</w:t>
            </w:r>
          </w:p>
        </w:tc>
      </w:tr>
      <w:tr>
        <w:trPr/>
        <w:tc>
          <w:tcPr>
            <w:tcW w:w="367" w:type="dxa"/>
            <w:tcBorders>
              <w:left w:val="single" w:sz="4" w:space="0" w:color="000000"/>
              <w:bottom w:val="single" w:sz="4" w:space="0" w:color="000000"/>
            </w:tcBorders>
          </w:tcPr>
          <w:p>
            <w:pPr>
              <w:pStyle w:val="Normal"/>
              <w:widowControl w:val="false"/>
              <w:spacing w:lineRule="auto" w:line="240" w:before="0" w:after="0"/>
              <w:jc w:val="both"/>
              <w:rPr>
                <w:rFonts w:ascii="Verdana" w:hAnsi="Verdana"/>
                <w:sz w:val="20"/>
                <w:szCs w:val="20"/>
              </w:rPr>
            </w:pPr>
            <w:r>
              <w:rPr>
                <w:rFonts w:ascii="Verdana" w:hAnsi="Verdana"/>
                <w:b w:val="false"/>
                <w:bCs w:val="false"/>
                <w:sz w:val="20"/>
                <w:szCs w:val="20"/>
                <w:shd w:fill="auto" w:val="clear"/>
              </w:rPr>
              <w:t>3</w:t>
            </w:r>
          </w:p>
        </w:tc>
        <w:tc>
          <w:tcPr>
            <w:tcW w:w="9116" w:type="dxa"/>
            <w:tcBorders>
              <w:bottom w:val="single" w:sz="4" w:space="0" w:color="000000"/>
              <w:right w:val="single" w:sz="4" w:space="0" w:color="000000"/>
            </w:tcBorders>
          </w:tcPr>
          <w:p>
            <w:pPr>
              <w:pStyle w:val="Normal"/>
              <w:widowControl w:val="false"/>
              <w:spacing w:lineRule="auto" w:line="240" w:before="0" w:after="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Entregar os materiais em prefeitas condições de uso;</w:t>
            </w:r>
          </w:p>
        </w:tc>
      </w:tr>
      <w:tr>
        <w:trPr/>
        <w:tc>
          <w:tcPr>
            <w:tcW w:w="367" w:type="dxa"/>
            <w:tcBorders>
              <w:left w:val="single" w:sz="4" w:space="0" w:color="000000"/>
              <w:bottom w:val="single" w:sz="4" w:space="0" w:color="000000"/>
            </w:tcBorders>
          </w:tcPr>
          <w:p>
            <w:pPr>
              <w:pStyle w:val="Normal"/>
              <w:widowControl w:val="false"/>
              <w:spacing w:lineRule="auto" w:line="240" w:before="0" w:after="0"/>
              <w:jc w:val="both"/>
              <w:rPr>
                <w:rFonts w:ascii="Verdana" w:hAnsi="Verdana"/>
                <w:sz w:val="20"/>
                <w:szCs w:val="20"/>
              </w:rPr>
            </w:pPr>
            <w:r>
              <w:rPr>
                <w:rFonts w:ascii="Verdana" w:hAnsi="Verdana"/>
                <w:b w:val="false"/>
                <w:bCs w:val="false"/>
                <w:sz w:val="20"/>
                <w:szCs w:val="20"/>
                <w:shd w:fill="auto" w:val="clear"/>
              </w:rPr>
              <w:t>4</w:t>
            </w:r>
          </w:p>
        </w:tc>
        <w:tc>
          <w:tcPr>
            <w:tcW w:w="9116" w:type="dxa"/>
            <w:tcBorders>
              <w:bottom w:val="single" w:sz="4" w:space="0" w:color="000000"/>
              <w:right w:val="single" w:sz="4" w:space="0" w:color="000000"/>
            </w:tcBorders>
          </w:tcPr>
          <w:p>
            <w:pPr>
              <w:pStyle w:val="Normal"/>
              <w:widowControl w:val="false"/>
              <w:spacing w:lineRule="auto" w:line="240" w:before="0" w:after="0"/>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Realizar a troca do produto, em caso de danos, dentro do prazo determinado</w:t>
            </w:r>
            <w:r>
              <w:rPr>
                <w:rFonts w:cs="Arial" w:ascii="Verdana" w:hAnsi="Verdana"/>
                <w:b w:val="false"/>
                <w:bCs w:val="false"/>
                <w:sz w:val="20"/>
                <w:szCs w:val="20"/>
                <w:shd w:fill="auto" w:val="clear"/>
              </w:rPr>
              <w:t>;</w:t>
            </w:r>
          </w:p>
        </w:tc>
      </w:tr>
    </w:tbl>
    <w:p>
      <w:pPr>
        <w:pStyle w:val="Normal"/>
        <w:spacing w:lineRule="auto" w:line="240" w:before="0" w:after="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before="0" w:after="0"/>
        <w:jc w:val="both"/>
        <w:rPr>
          <w:rFonts w:ascii="Verdana" w:hAnsi="Verdana"/>
          <w:sz w:val="20"/>
          <w:szCs w:val="20"/>
        </w:rPr>
      </w:pPr>
      <w:r>
        <w:rPr>
          <w:rFonts w:ascii="Verdana" w:hAnsi="Verdana"/>
          <w:b w:val="false"/>
          <w:bCs w:val="false"/>
          <w:color w:val="000000"/>
          <w:sz w:val="20"/>
          <w:szCs w:val="20"/>
        </w:rPr>
        <w:t xml:space="preserve">3.3. </w:t>
      </w:r>
      <w:r>
        <w:rPr>
          <w:rFonts w:eastAsia="Arial" w:cs="Arial" w:ascii="Verdana" w:hAnsi="Verdana"/>
          <w:b w:val="false"/>
          <w:bCs w:val="false"/>
          <w:color w:val="000000"/>
          <w:sz w:val="20"/>
          <w:szCs w:val="20"/>
          <w:shd w:fill="auto" w:val="clear"/>
        </w:rPr>
        <w:t>As especificações dos produtos que estão contidas no Estudo Técnico Preliminar, conforme solicitação de compras em anexo, estão de acordo com os padr</w:t>
      </w:r>
      <w:r>
        <w:rPr>
          <w:rFonts w:eastAsia="Arial" w:cs="Arial" w:ascii="Verdana" w:hAnsi="Verdana"/>
          <w:b w:val="false"/>
          <w:bCs w:val="false"/>
          <w:color w:val="000000"/>
          <w:sz w:val="20"/>
          <w:szCs w:val="20"/>
        </w:rPr>
        <w:t>ões existentes no mercado.</w:t>
      </w:r>
    </w:p>
    <w:p>
      <w:pPr>
        <w:pStyle w:val="Normal"/>
        <w:suppressAutoHyphens w:val="false"/>
        <w:spacing w:lineRule="auto" w:line="240" w:before="0" w:after="0"/>
        <w:jc w:val="both"/>
        <w:rPr>
          <w:rFonts w:ascii="Verdana" w:hAnsi="Verdana"/>
          <w:sz w:val="20"/>
          <w:szCs w:val="20"/>
        </w:rPr>
      </w:pPr>
      <w:r>
        <w:rPr>
          <w:rFonts w:eastAsia="Times New Roman" w:cs="Arial" w:ascii="Verdana" w:hAnsi="Verdana"/>
          <w:b w:val="false"/>
          <w:bCs w:val="false"/>
          <w:color w:val="000000"/>
          <w:kern w:val="0"/>
          <w:sz w:val="20"/>
          <w:szCs w:val="20"/>
          <w:u w:val="none"/>
          <w:lang w:val="pt-BR" w:eastAsia="zh-CN" w:bidi="ar-SA"/>
        </w:rPr>
        <w:t>3.4. A aquisição deverá obedecer, no que couber, ao disposto na Lei n.º 14.133/2021 e suas alterações.</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pacing w:lineRule="auto" w:line="240"/>
        <w:ind w:left="0" w:right="0" w:hanging="0"/>
        <w:jc w:val="both"/>
        <w:rPr>
          <w:rFonts w:ascii="Verdana" w:hAnsi="Verdana"/>
          <w:sz w:val="20"/>
          <w:szCs w:val="20"/>
        </w:rPr>
      </w:pPr>
      <w:r>
        <w:rPr>
          <w:rFonts w:cs="Arial" w:ascii="Verdana" w:hAnsi="Verdana"/>
          <w:b/>
          <w:bCs/>
          <w:color w:val="000000"/>
          <w:sz w:val="20"/>
          <w:szCs w:val="20"/>
        </w:rPr>
        <w:t>5. REQUISITOS DA CONTRATAÇÃO/AQUISIÇÃO</w:t>
      </w:r>
    </w:p>
    <w:p>
      <w:pPr>
        <w:pStyle w:val="Normal"/>
        <w:spacing w:lineRule="auto" w:line="240"/>
        <w:ind w:left="0" w:right="0" w:hanging="0"/>
        <w:jc w:val="both"/>
        <w:rPr>
          <w:rFonts w:ascii="Verdana" w:hAnsi="Verdana"/>
          <w:sz w:val="20"/>
          <w:szCs w:val="20"/>
        </w:rPr>
      </w:pPr>
      <w:r>
        <w:rPr>
          <w:rFonts w:cs="Times New Roman" w:ascii="Verdana" w:hAnsi="Verdana"/>
          <w:b w:val="false"/>
          <w:bCs w:val="false"/>
          <w:sz w:val="20"/>
          <w:szCs w:val="20"/>
        </w:rPr>
        <w:t xml:space="preserve">5.1. </w:t>
      </w:r>
      <w:r>
        <w:rPr>
          <w:rFonts w:ascii="Verdana" w:hAnsi="Verdana"/>
          <w:b w:val="false"/>
          <w:bCs w:val="false"/>
          <w:sz w:val="20"/>
          <w:szCs w:val="20"/>
        </w:rPr>
        <w:t xml:space="preserve">A </w:t>
      </w:r>
      <w:r>
        <w:rPr>
          <w:rFonts w:eastAsia="Times New Roman" w:cs="Times New Roman" w:ascii="Verdana" w:hAnsi="Verdana"/>
          <w:b w:val="false"/>
          <w:bCs w:val="false"/>
          <w:sz w:val="20"/>
          <w:szCs w:val="20"/>
        </w:rPr>
        <w:t>aquis</w:t>
      </w:r>
      <w:r>
        <w:rPr>
          <w:rFonts w:eastAsia="Times New Roman" w:cs="Times New Roman" w:ascii="Verdana" w:hAnsi="Verdana"/>
          <w:sz w:val="20"/>
          <w:szCs w:val="20"/>
        </w:rPr>
        <w:t>ição</w:t>
      </w:r>
      <w:r>
        <w:rPr>
          <w:rFonts w:ascii="Verdana" w:hAnsi="Verdana"/>
          <w:sz w:val="20"/>
          <w:szCs w:val="20"/>
        </w:rPr>
        <w:t xml:space="preserve"> deverá observar os seguintes requisitos:</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rPr>
        <w:t>5.2. Aquisição por registro de preços, menor preço por item.</w:t>
      </w:r>
    </w:p>
    <w:p>
      <w:pPr>
        <w:pStyle w:val="ListParagraph"/>
        <w:tabs>
          <w:tab w:val="clear" w:pos="708"/>
          <w:tab w:val="left" w:pos="450" w:leader="none"/>
        </w:tabs>
        <w:suppressAutoHyphens w:val="false"/>
        <w:spacing w:lineRule="auto" w:line="240"/>
        <w:ind w:left="35" w:right="0" w:hanging="0"/>
        <w:jc w:val="both"/>
        <w:rPr>
          <w:rFonts w:ascii="Verdana" w:hAnsi="Verdana"/>
          <w:sz w:val="20"/>
          <w:szCs w:val="20"/>
        </w:rPr>
      </w:pPr>
      <w:r>
        <w:rPr>
          <w:rFonts w:ascii="Verdana" w:hAnsi="Verdana"/>
          <w:b w:val="false"/>
          <w:bCs w:val="false"/>
          <w:i w:val="false"/>
          <w:iCs w:val="false"/>
          <w:sz w:val="20"/>
          <w:szCs w:val="20"/>
        </w:rPr>
        <w:t xml:space="preserve">5.3. A aquisição se dará por </w:t>
      </w:r>
      <w:r>
        <w:rPr>
          <w:rFonts w:eastAsia="Times New Roman" w:cs="Times New Roman" w:ascii="Verdana" w:hAnsi="Verdana"/>
          <w:b w:val="false"/>
          <w:bCs w:val="false"/>
          <w:i w:val="false"/>
          <w:iCs w:val="false"/>
          <w:sz w:val="20"/>
          <w:szCs w:val="20"/>
        </w:rPr>
        <w:t>registro de preços</w:t>
      </w:r>
      <w:r>
        <w:rPr>
          <w:rFonts w:ascii="Verdana" w:hAnsi="Verdana"/>
          <w:b w:val="false"/>
          <w:bCs w:val="false"/>
          <w:i w:val="false"/>
          <w:iCs w:val="false"/>
          <w:sz w:val="20"/>
          <w:szCs w:val="20"/>
        </w:rPr>
        <w:t xml:space="preserve">, </w:t>
      </w:r>
      <w:r>
        <w:rPr>
          <w:rFonts w:eastAsia="Times New Roman" w:cs="Arial" w:ascii="Verdana" w:hAnsi="Verdana"/>
          <w:b w:val="false"/>
          <w:bCs w:val="false"/>
          <w:i w:val="false"/>
          <w:iCs w:val="false"/>
          <w:sz w:val="20"/>
          <w:szCs w:val="20"/>
        </w:rPr>
        <w:t xml:space="preserve">sendo necessária a emissão de autorização de fornecimento </w:t>
      </w:r>
      <w:r>
        <w:rPr>
          <w:rFonts w:eastAsia="Times New Roman" w:cs="Arial" w:ascii="Verdana" w:hAnsi="Verdana"/>
          <w:b w:val="false"/>
          <w:bCs w:val="false"/>
          <w:i w:val="false"/>
          <w:iCs w:val="false"/>
          <w:sz w:val="20"/>
          <w:szCs w:val="20"/>
          <w:lang w:eastAsia="zh-CN"/>
        </w:rPr>
        <w:t xml:space="preserve">dos itens concedendo o prazo de até 15 (quinze) dias corridos para a entrega, </w:t>
      </w:r>
      <w:r>
        <w:rPr>
          <w:rFonts w:ascii="Verdana" w:hAnsi="Verdana"/>
          <w:b w:val="false"/>
          <w:bCs w:val="false"/>
          <w:i w:val="false"/>
          <w:iCs w:val="false"/>
          <w:sz w:val="20"/>
          <w:szCs w:val="20"/>
        </w:rPr>
        <w:t>por parte do fornecedor contratado, sendo sagrado vencedor, o fornecedor que apresentar o menor valor por item a ser adquirido.</w:t>
      </w:r>
    </w:p>
    <w:p>
      <w:pPr>
        <w:pStyle w:val="ListParagraph"/>
        <w:tabs>
          <w:tab w:val="clear" w:pos="708"/>
          <w:tab w:val="left" w:pos="450" w:leader="none"/>
        </w:tabs>
        <w:suppressAutoHyphens w:val="false"/>
        <w:spacing w:lineRule="auto" w:line="240"/>
        <w:ind w:left="35" w:right="0" w:hanging="0"/>
        <w:jc w:val="both"/>
        <w:rPr>
          <w:rFonts w:ascii="Verdana" w:hAnsi="Verdana"/>
          <w:sz w:val="20"/>
          <w:szCs w:val="20"/>
        </w:rPr>
      </w:pPr>
      <w:r>
        <w:rPr>
          <w:rFonts w:ascii="Verdana" w:hAnsi="Verdana"/>
          <w:b w:val="false"/>
          <w:bCs w:val="false"/>
          <w:i w:val="false"/>
          <w:iCs w:val="false"/>
          <w:sz w:val="20"/>
          <w:szCs w:val="20"/>
        </w:rPr>
        <w:t xml:space="preserve">5.4 </w:t>
      </w:r>
      <w:r>
        <w:rPr>
          <w:rFonts w:ascii="Verdana" w:hAnsi="Verdana"/>
          <w:b w:val="false"/>
          <w:bCs w:val="false"/>
          <w:i w:val="false"/>
          <w:iCs w:val="false"/>
          <w:sz w:val="20"/>
          <w:szCs w:val="20"/>
          <w:u w:val="none"/>
        </w:rPr>
        <w:t xml:space="preserve">A empresa detentora da ata registrará o preço por 12 (doze) </w:t>
      </w:r>
      <w:r>
        <w:rPr>
          <w:rFonts w:eastAsia="Times New Roman" w:cs="Times New Roman" w:ascii="Verdana" w:hAnsi="Verdana"/>
          <w:b w:val="false"/>
          <w:bCs w:val="false"/>
          <w:i w:val="false"/>
          <w:iCs w:val="false"/>
          <w:sz w:val="20"/>
          <w:szCs w:val="20"/>
          <w:u w:val="none"/>
        </w:rPr>
        <w:t>meses</w:t>
      </w:r>
      <w:r>
        <w:rPr>
          <w:rFonts w:ascii="Verdana" w:hAnsi="Verdana"/>
          <w:b w:val="false"/>
          <w:bCs w:val="false"/>
          <w:i w:val="false"/>
          <w:iCs w:val="false"/>
          <w:sz w:val="20"/>
          <w:szCs w:val="20"/>
        </w:rPr>
        <w:t>, podendo ou não a secretaria requisitar a entrega dos produtos, dependendo da demanda do serviço de acolhimento.</w:t>
      </w:r>
    </w:p>
    <w:p>
      <w:pPr>
        <w:pStyle w:val="Normal"/>
        <w:shd w:val="clear" w:fill="FFFFFF"/>
        <w:suppressAutoHyphens w:val="false"/>
        <w:spacing w:lineRule="auto" w:line="240"/>
        <w:ind w:left="0" w:right="0" w:hanging="57"/>
        <w:jc w:val="both"/>
        <w:rPr>
          <w:rFonts w:ascii="Verdana" w:hAnsi="Verdana"/>
          <w:sz w:val="20"/>
          <w:szCs w:val="20"/>
        </w:rPr>
      </w:pPr>
      <w:r>
        <w:rPr>
          <w:rFonts w:eastAsia="Calibri" w:ascii="Verdana" w:hAnsi="Verdana"/>
          <w:b w:val="false"/>
          <w:bCs w:val="false"/>
          <w:sz w:val="20"/>
          <w:szCs w:val="20"/>
          <w:shd w:fill="FFFFFF" w:val="clear"/>
        </w:rPr>
        <w:t xml:space="preserve"> </w:t>
      </w:r>
      <w:r>
        <w:rPr>
          <w:rFonts w:eastAsia="Calibri" w:ascii="Verdana" w:hAnsi="Verdana"/>
          <w:b w:val="false"/>
          <w:bCs w:val="false"/>
          <w:sz w:val="20"/>
          <w:szCs w:val="20"/>
          <w:shd w:fill="FFFFFF" w:val="clear"/>
        </w:rPr>
        <w:t xml:space="preserve">5.5. A empresa fornecedora deverá entregar </w:t>
      </w:r>
      <w:r>
        <w:rPr>
          <w:rFonts w:eastAsia="Calibri" w:cs="Times New Roman" w:ascii="Verdana" w:hAnsi="Verdana"/>
          <w:b w:val="false"/>
          <w:bCs w:val="false"/>
          <w:sz w:val="20"/>
          <w:szCs w:val="20"/>
          <w:shd w:fill="FFFFFF" w:val="clear"/>
        </w:rPr>
        <w:t>os objetos</w:t>
      </w:r>
      <w:r>
        <w:rPr>
          <w:rFonts w:eastAsia="Calibri" w:ascii="Verdana" w:hAnsi="Verdana"/>
          <w:b w:val="false"/>
          <w:bCs w:val="false"/>
          <w:sz w:val="20"/>
          <w:szCs w:val="20"/>
          <w:shd w:fill="FFFFFF" w:val="clear"/>
        </w:rPr>
        <w:t xml:space="preserve"> de qualidade de acordo com as especificações apresentadas </w:t>
      </w:r>
      <w:r>
        <w:rPr>
          <w:rFonts w:ascii="Verdana" w:hAnsi="Verdana"/>
          <w:b w:val="false"/>
          <w:bCs w:val="false"/>
          <w:sz w:val="20"/>
          <w:szCs w:val="20"/>
        </w:rPr>
        <w:t xml:space="preserve">na autorização de fornecimento/execução e </w:t>
      </w:r>
      <w:r>
        <w:rPr>
          <w:rFonts w:eastAsia="Calibri" w:ascii="Verdana" w:hAnsi="Verdana"/>
          <w:b w:val="false"/>
          <w:bCs w:val="false"/>
          <w:sz w:val="20"/>
          <w:szCs w:val="20"/>
          <w:shd w:fill="FFFFFF" w:val="clear"/>
        </w:rPr>
        <w:t xml:space="preserve">em perfeitas condições </w:t>
      </w:r>
      <w:r>
        <w:rPr>
          <w:rFonts w:eastAsia="Calibri" w:cs="Times New Roman" w:ascii="Verdana" w:hAnsi="Verdana"/>
          <w:b w:val="false"/>
          <w:bCs w:val="false"/>
          <w:sz w:val="20"/>
          <w:szCs w:val="20"/>
          <w:shd w:fill="FFFFFF" w:val="clear"/>
        </w:rPr>
        <w:t>de uso.</w:t>
      </w:r>
    </w:p>
    <w:p>
      <w:pPr>
        <w:pStyle w:val="ListParagraph"/>
        <w:shd w:val="clear" w:fill="FFFFFF"/>
        <w:suppressAutoHyphens w:val="false"/>
        <w:spacing w:lineRule="auto" w:line="240"/>
        <w:ind w:left="57" w:right="0" w:hanging="57"/>
        <w:jc w:val="both"/>
        <w:rPr>
          <w:rFonts w:ascii="Verdana" w:hAnsi="Verdana"/>
          <w:sz w:val="20"/>
          <w:szCs w:val="20"/>
        </w:rPr>
      </w:pPr>
      <w:r>
        <w:rPr>
          <w:rFonts w:eastAsia="Calibri" w:ascii="Verdana" w:hAnsi="Verdana"/>
          <w:b w:val="false"/>
          <w:bCs w:val="false"/>
          <w:sz w:val="20"/>
          <w:szCs w:val="20"/>
          <w:shd w:fill="FFFFFF" w:val="clear"/>
        </w:rPr>
        <w:t xml:space="preserve">5.6. A </w:t>
      </w:r>
      <w:r>
        <w:rPr>
          <w:rFonts w:eastAsia="Calibri" w:cs="Times New Roman" w:ascii="Verdana" w:hAnsi="Verdana"/>
          <w:b w:val="false"/>
          <w:bCs w:val="false"/>
          <w:sz w:val="20"/>
          <w:szCs w:val="20"/>
          <w:shd w:fill="FFFFFF" w:val="clear"/>
        </w:rPr>
        <w:t>aquisição</w:t>
      </w:r>
      <w:r>
        <w:rPr>
          <w:rFonts w:eastAsia="Calibri" w:ascii="Verdana" w:hAnsi="Verdana"/>
          <w:b w:val="false"/>
          <w:bCs w:val="false"/>
          <w:sz w:val="20"/>
          <w:szCs w:val="20"/>
          <w:shd w:fill="FFFFFF" w:val="clear"/>
        </w:rPr>
        <w:t xml:space="preserve"> deverá obedecer, no que couber, ao disposto na Lei nº 14.133/2021 e suas alterações.</w:t>
      </w:r>
    </w:p>
    <w:p>
      <w:pPr>
        <w:pStyle w:val="ListParagraph"/>
        <w:tabs>
          <w:tab w:val="clear" w:pos="708"/>
          <w:tab w:val="left" w:pos="450" w:leader="none"/>
        </w:tabs>
        <w:spacing w:lineRule="auto" w:line="240"/>
        <w:ind w:left="-22" w:right="0" w:hanging="0"/>
        <w:jc w:val="both"/>
        <w:rPr>
          <w:rFonts w:ascii="Verdana" w:hAnsi="Verdana"/>
          <w:sz w:val="20"/>
          <w:szCs w:val="20"/>
        </w:rPr>
      </w:pPr>
      <w:r>
        <w:rPr>
          <w:rFonts w:ascii="Verdana" w:hAnsi="Verdana"/>
          <w:b w:val="false"/>
          <w:bCs w:val="false"/>
          <w:sz w:val="20"/>
          <w:szCs w:val="20"/>
        </w:rPr>
        <w:t xml:space="preserve">5.7. A empresa </w:t>
      </w:r>
      <w:r>
        <w:rPr>
          <w:rFonts w:eastAsia="Times New Roman" w:cs="Times New Roman" w:ascii="Verdana" w:hAnsi="Verdana"/>
          <w:b w:val="false"/>
          <w:bCs w:val="false"/>
          <w:sz w:val="20"/>
          <w:szCs w:val="20"/>
        </w:rPr>
        <w:t>ganhadora</w:t>
      </w:r>
      <w:r>
        <w:rPr>
          <w:rFonts w:ascii="Verdana" w:hAnsi="Verdana"/>
          <w:b w:val="false"/>
          <w:bCs w:val="false"/>
          <w:sz w:val="20"/>
          <w:szCs w:val="20"/>
        </w:rPr>
        <w:t xml:space="preserve"> deverá entregar os materiais na data estipulada na autorização de fornecimento/execução emitida pelo Departamento de Compras e Contratos.</w:t>
      </w:r>
    </w:p>
    <w:p>
      <w:pPr>
        <w:pStyle w:val="ListParagraph"/>
        <w:spacing w:lineRule="auto" w:line="240"/>
        <w:ind w:left="-22" w:right="0" w:hanging="0"/>
        <w:jc w:val="both"/>
        <w:rPr>
          <w:rFonts w:ascii="Verdana" w:hAnsi="Verdana"/>
          <w:sz w:val="20"/>
          <w:szCs w:val="20"/>
        </w:rPr>
      </w:pPr>
      <w:r>
        <w:rPr>
          <w:rFonts w:ascii="Verdana" w:hAnsi="Verdana"/>
          <w:b w:val="false"/>
          <w:bCs w:val="false"/>
          <w:sz w:val="20"/>
          <w:szCs w:val="20"/>
        </w:rPr>
        <w:t>5.8.  Não será admitida a subcontratação do objeto contratual.</w:t>
      </w:r>
    </w:p>
    <w:p>
      <w:pPr>
        <w:pStyle w:val="ListParagraph"/>
        <w:spacing w:lineRule="auto" w:line="240"/>
        <w:ind w:left="-22"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5.9. Não haverá exigência da garantia da </w:t>
      </w:r>
      <w:r>
        <w:rPr>
          <w:rFonts w:eastAsia="Times New Roman" w:cs="Arial" w:ascii="Verdana" w:hAnsi="Verdana"/>
          <w:b w:val="false"/>
          <w:bCs w:val="false"/>
          <w:i w:val="false"/>
          <w:iCs w:val="false"/>
          <w:color w:val="000000"/>
          <w:sz w:val="20"/>
          <w:szCs w:val="20"/>
        </w:rPr>
        <w:t>aquisição</w:t>
      </w:r>
      <w:r>
        <w:rPr>
          <w:rFonts w:cs="Arial" w:ascii="Verdana" w:hAnsi="Verdana"/>
          <w:b w:val="false"/>
          <w:bCs w:val="false"/>
          <w:i w:val="false"/>
          <w:iCs w:val="false"/>
          <w:color w:val="000000"/>
          <w:sz w:val="20"/>
          <w:szCs w:val="20"/>
        </w:rPr>
        <w:t xml:space="preserve"> dos arts. 96 e seguintes da Lei nº 14.133/21.</w:t>
      </w:r>
    </w:p>
    <w:p>
      <w:pPr>
        <w:pStyle w:val="ListParagraph"/>
        <w:spacing w:lineRule="auto" w:line="240"/>
        <w:ind w:left="-22"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5.10. Não se </w:t>
      </w:r>
      <w:r>
        <w:rPr>
          <w:rFonts w:cs="Arial" w:ascii="Verdana" w:hAnsi="Verdana"/>
          <w:i w:val="false"/>
          <w:iCs w:val="false"/>
          <w:color w:val="000000"/>
          <w:sz w:val="20"/>
          <w:szCs w:val="20"/>
        </w:rPr>
        <w:t>verifica contratações correlatas no presente exercício.</w:t>
      </w:r>
    </w:p>
    <w:p>
      <w:pPr>
        <w:pStyle w:val="Normal"/>
        <w:spacing w:lineRule="auto" w:line="240"/>
        <w:jc w:val="both"/>
        <w:rPr>
          <w:rFonts w:ascii="Verdana" w:hAnsi="Verdana"/>
          <w:sz w:val="20"/>
          <w:szCs w:val="20"/>
        </w:rPr>
      </w:pPr>
      <w:r>
        <w:rPr>
          <w:rFonts w:cs="Arial" w:ascii="Verdana" w:hAnsi="Verdana"/>
          <w:b w:val="false"/>
          <w:bCs w:val="false"/>
          <w:sz w:val="20"/>
          <w:szCs w:val="20"/>
          <w:shd w:fill="auto" w:val="clear"/>
        </w:rPr>
        <w:t xml:space="preserve">5.11. Na </w:t>
      </w:r>
      <w:r>
        <w:rPr>
          <w:rFonts w:eastAsia="Times New Roman" w:cs="Arial" w:ascii="Verdana" w:hAnsi="Verdana"/>
          <w:b w:val="false"/>
          <w:bCs w:val="false"/>
          <w:color w:val="000000"/>
          <w:kern w:val="0"/>
          <w:sz w:val="20"/>
          <w:szCs w:val="20"/>
          <w:shd w:fill="auto" w:val="clear"/>
          <w:lang w:val="pt-BR" w:eastAsia="zh-CN" w:bidi="ar-SA"/>
        </w:rPr>
        <w:t>entrega dos produtos</w:t>
      </w:r>
      <w:r>
        <w:rPr>
          <w:rFonts w:cs="Arial" w:ascii="Verdana" w:hAnsi="Verdana"/>
          <w:b w:val="false"/>
          <w:bCs w:val="false"/>
          <w:sz w:val="20"/>
          <w:szCs w:val="20"/>
          <w:shd w:fill="auto" w:val="clear"/>
        </w:rPr>
        <w:t>, a CONTRATADA deve:</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 xml:space="preserve">a) Fornecer os </w:t>
      </w:r>
      <w:r>
        <w:rPr>
          <w:rFonts w:eastAsia="Times New Roman" w:cs="Arial" w:ascii="Verdana" w:hAnsi="Verdana"/>
          <w:b w:val="false"/>
          <w:bCs w:val="false"/>
          <w:color w:val="000000"/>
          <w:kern w:val="0"/>
          <w:sz w:val="20"/>
          <w:szCs w:val="20"/>
          <w:shd w:fill="auto" w:val="clear"/>
          <w:lang w:val="pt-BR" w:eastAsia="zh-CN" w:bidi="ar-SA"/>
        </w:rPr>
        <w:t>materiais e equipamentos</w:t>
      </w:r>
      <w:r>
        <w:rPr>
          <w:rFonts w:cs="Arial" w:ascii="Verdana" w:hAnsi="Verdana"/>
          <w:b w:val="false"/>
          <w:bCs w:val="false"/>
          <w:sz w:val="20"/>
          <w:szCs w:val="20"/>
          <w:shd w:fill="auto" w:val="clear"/>
        </w:rPr>
        <w:t xml:space="preserve"> em perfeitas condições de uso, sem nenhuma avaria que comprometa a sua qualidade</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 xml:space="preserve">b) </w:t>
      </w:r>
      <w:r>
        <w:rPr>
          <w:rFonts w:eastAsia="Times New Roman" w:cs="Arial" w:ascii="Verdana" w:hAnsi="Verdana"/>
          <w:b w:val="false"/>
          <w:bCs w:val="false"/>
          <w:color w:val="000000"/>
          <w:kern w:val="0"/>
          <w:sz w:val="20"/>
          <w:szCs w:val="20"/>
          <w:shd w:fill="auto" w:val="clear"/>
          <w:lang w:val="pt-BR" w:eastAsia="zh-CN" w:bidi="ar-SA"/>
        </w:rPr>
        <w:t>Fornecer os itens conforme a cotação de preços</w:t>
      </w:r>
      <w:r>
        <w:rPr>
          <w:rFonts w:cs="Arial" w:ascii="Verdana" w:hAnsi="Verdana"/>
          <w:b w:val="false"/>
          <w:bCs w:val="false"/>
          <w:sz w:val="20"/>
          <w:szCs w:val="20"/>
          <w:shd w:fill="auto" w:val="clear"/>
        </w:rPr>
        <w:t xml:space="preserve">. </w:t>
      </w:r>
    </w:p>
    <w:p>
      <w:pPr>
        <w:pStyle w:val="Normal"/>
        <w:spacing w:lineRule="auto" w:line="240"/>
        <w:jc w:val="both"/>
        <w:rPr>
          <w:rFonts w:ascii="Verdana" w:hAnsi="Verdana"/>
          <w:sz w:val="20"/>
          <w:szCs w:val="20"/>
        </w:rPr>
      </w:pPr>
      <w:r>
        <w:rPr>
          <w:rFonts w:cs="Arial" w:ascii="Verdana" w:hAnsi="Verdana"/>
          <w:b w:val="false"/>
          <w:bCs w:val="false"/>
          <w:color w:val="000000"/>
          <w:sz w:val="20"/>
          <w:szCs w:val="20"/>
          <w:shd w:fill="auto" w:val="clear"/>
        </w:rPr>
        <w:t xml:space="preserve">c) </w:t>
      </w:r>
      <w:r>
        <w:rPr>
          <w:rFonts w:eastAsia="Times New Roman" w:cs="Arial" w:ascii="Verdana" w:hAnsi="Verdana"/>
          <w:b w:val="false"/>
          <w:bCs w:val="false"/>
          <w:color w:val="000000"/>
          <w:kern w:val="0"/>
          <w:sz w:val="20"/>
          <w:szCs w:val="20"/>
          <w:shd w:fill="auto" w:val="clear"/>
          <w:lang w:val="pt-BR" w:eastAsia="zh-CN" w:bidi="ar-SA"/>
        </w:rPr>
        <w:t>realizar a entrega dos produtos dentro do prazo determinado, sendo de sua total responsabilidade o custo com a logística e montagem</w:t>
      </w:r>
      <w:r>
        <w:rPr>
          <w:rFonts w:cs="Arial" w:ascii="Verdana" w:hAnsi="Verdana"/>
          <w:b w:val="false"/>
          <w:bCs w:val="false"/>
          <w:color w:val="000000"/>
          <w:sz w:val="20"/>
          <w:szCs w:val="20"/>
          <w:shd w:fill="auto" w:val="clear"/>
        </w:rPr>
        <w:t xml:space="preserve">. </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d) Cotar e fornecer produtos de qualidade e que sejam próprios para o uso a que se destinam.</w:t>
      </w:r>
    </w:p>
    <w:p>
      <w:pPr>
        <w:pStyle w:val="Normal"/>
        <w:spacing w:lineRule="auto" w:line="240" w:before="0" w:after="0"/>
        <w:jc w:val="both"/>
        <w:rPr>
          <w:rFonts w:ascii="Verdana" w:hAnsi="Verdana"/>
          <w:sz w:val="20"/>
          <w:szCs w:val="20"/>
        </w:rPr>
      </w:pPr>
      <w:r>
        <w:rPr>
          <w:rFonts w:cs="Arial" w:ascii="Verdana" w:hAnsi="Verdana"/>
          <w:b w:val="false"/>
          <w:bCs w:val="false"/>
          <w:sz w:val="20"/>
          <w:szCs w:val="20"/>
          <w:shd w:fill="auto" w:val="clear"/>
        </w:rPr>
        <w:t xml:space="preserve">e) Realizar substituição dos </w:t>
      </w:r>
      <w:r>
        <w:rPr>
          <w:rFonts w:eastAsia="Times New Roman" w:cs="Arial" w:ascii="Verdana" w:hAnsi="Verdana"/>
          <w:b w:val="false"/>
          <w:bCs w:val="false"/>
          <w:color w:val="000000"/>
          <w:kern w:val="0"/>
          <w:sz w:val="20"/>
          <w:szCs w:val="20"/>
          <w:shd w:fill="auto" w:val="clear"/>
          <w:lang w:val="pt-BR" w:eastAsia="zh-CN" w:bidi="ar-SA"/>
        </w:rPr>
        <w:t>produtos que foram entregues danificados em até 05 dias, se for o caso.</w:t>
      </w:r>
    </w:p>
    <w:p>
      <w:pPr>
        <w:pStyle w:val="Normal"/>
        <w:spacing w:lineRule="auto" w:line="240" w:before="0" w:after="0"/>
        <w:jc w:val="both"/>
        <w:rPr>
          <w:rFonts w:ascii="Verdana" w:hAnsi="Verdana"/>
          <w:b/>
          <w:bCs/>
          <w:sz w:val="20"/>
          <w:szCs w:val="20"/>
          <w:highlight w:val="none"/>
          <w:shd w:fill="auto" w:val="clear"/>
        </w:rPr>
      </w:pPr>
      <w:r>
        <w:rPr>
          <w:rFonts w:ascii="Verdana" w:hAnsi="Verdana"/>
          <w:b/>
          <w:bCs/>
          <w:sz w:val="20"/>
          <w:szCs w:val="20"/>
          <w:shd w:fill="auto" w:val="clear"/>
        </w:rPr>
      </w:r>
    </w:p>
    <w:p>
      <w:pPr>
        <w:pStyle w:val="Normal"/>
        <w:spacing w:lineRule="auto" w:line="240" w:before="0" w:after="0"/>
        <w:jc w:val="both"/>
        <w:rPr>
          <w:rFonts w:ascii="Verdana" w:hAnsi="Verdana"/>
          <w:sz w:val="20"/>
          <w:szCs w:val="20"/>
        </w:rPr>
      </w:pPr>
      <w:r>
        <w:rPr>
          <w:rFonts w:ascii="Verdana" w:hAnsi="Verdana"/>
          <w:b/>
          <w:bCs/>
          <w:sz w:val="20"/>
          <w:szCs w:val="20"/>
        </w:rPr>
        <w:t>5.12. Da Distribuição dos Equipamentos</w:t>
      </w:r>
    </w:p>
    <w:p>
      <w:pPr>
        <w:pStyle w:val="Normal"/>
        <w:spacing w:lineRule="auto" w:line="240" w:before="0" w:after="0"/>
        <w:jc w:val="both"/>
        <w:rPr>
          <w:rFonts w:ascii="Verdana" w:hAnsi="Verdana"/>
          <w:sz w:val="20"/>
          <w:szCs w:val="20"/>
        </w:rPr>
      </w:pPr>
      <w:r>
        <w:rPr>
          <w:rFonts w:cs="Arial" w:ascii="Verdana" w:hAnsi="Verdana"/>
          <w:b w:val="false"/>
          <w:bCs w:val="false"/>
          <w:color w:val="000000"/>
          <w:sz w:val="20"/>
          <w:szCs w:val="20"/>
        </w:rPr>
        <w:t xml:space="preserve">5.12.2. </w:t>
      </w:r>
      <w:r>
        <w:rPr>
          <w:rFonts w:eastAsia="Times New Roman" w:cs="Arial" w:ascii="Verdana" w:hAnsi="Verdana"/>
          <w:b w:val="false"/>
          <w:bCs w:val="false"/>
          <w:color w:val="000000"/>
          <w:kern w:val="0"/>
          <w:sz w:val="20"/>
          <w:szCs w:val="20"/>
          <w:lang w:val="pt-BR" w:eastAsia="pt-BR" w:bidi="ar-SA"/>
        </w:rPr>
        <w:t>A distribuição dos equipamentos será de acordo com a planilha abaixo:</w:t>
      </w:r>
    </w:p>
    <w:tbl>
      <w:tblPr>
        <w:tblW w:w="9632" w:type="dxa"/>
        <w:jc w:val="left"/>
        <w:tblInd w:w="-99" w:type="dxa"/>
        <w:tblLayout w:type="fixed"/>
        <w:tblCellMar>
          <w:top w:w="55" w:type="dxa"/>
          <w:left w:w="55" w:type="dxa"/>
          <w:bottom w:w="55" w:type="dxa"/>
          <w:right w:w="55" w:type="dxa"/>
        </w:tblCellMar>
      </w:tblPr>
      <w:tblGrid>
        <w:gridCol w:w="750"/>
        <w:gridCol w:w="3810"/>
        <w:gridCol w:w="3676"/>
        <w:gridCol w:w="1395"/>
      </w:tblGrid>
      <w:tr>
        <w:trPr/>
        <w:tc>
          <w:tcPr>
            <w:tcW w:w="750" w:type="dxa"/>
            <w:vMerge w:val="restart"/>
            <w:tcBorders>
              <w:top w:val="single" w:sz="2" w:space="0" w:color="000000"/>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b/>
                <w:bCs/>
                <w:sz w:val="20"/>
                <w:szCs w:val="20"/>
              </w:rPr>
            </w:pPr>
            <w:r>
              <w:rPr>
                <w:rFonts w:ascii="Verdana" w:hAnsi="Verdana"/>
                <w:b/>
                <w:bCs/>
                <w:sz w:val="20"/>
                <w:szCs w:val="20"/>
              </w:rPr>
            </w:r>
          </w:p>
          <w:p>
            <w:pPr>
              <w:pStyle w:val="Contedodatabela"/>
              <w:widowControl w:val="false"/>
              <w:spacing w:lineRule="auto" w:line="240"/>
              <w:jc w:val="center"/>
              <w:rPr>
                <w:rFonts w:ascii="Verdana" w:hAnsi="Verdana"/>
                <w:sz w:val="20"/>
                <w:szCs w:val="20"/>
              </w:rPr>
            </w:pPr>
            <w:r>
              <w:rPr>
                <w:rFonts w:ascii="Verdana" w:hAnsi="Verdana"/>
                <w:b/>
                <w:bCs/>
                <w:sz w:val="20"/>
                <w:szCs w:val="20"/>
              </w:rPr>
              <w:t>Item</w:t>
            </w:r>
          </w:p>
        </w:tc>
        <w:tc>
          <w:tcPr>
            <w:tcW w:w="3810" w:type="dxa"/>
            <w:vMerge w:val="restart"/>
            <w:tcBorders>
              <w:top w:val="single" w:sz="2" w:space="0" w:color="000000"/>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b/>
                <w:bCs/>
                <w:sz w:val="20"/>
                <w:szCs w:val="20"/>
              </w:rPr>
            </w:pPr>
            <w:r>
              <w:rPr>
                <w:rFonts w:ascii="Verdana" w:hAnsi="Verdana"/>
                <w:b/>
                <w:bCs/>
                <w:sz w:val="20"/>
                <w:szCs w:val="20"/>
              </w:rPr>
            </w:r>
          </w:p>
          <w:p>
            <w:pPr>
              <w:pStyle w:val="Contedodatabela"/>
              <w:widowControl w:val="false"/>
              <w:spacing w:lineRule="auto" w:line="240"/>
              <w:jc w:val="center"/>
              <w:rPr>
                <w:rFonts w:ascii="Verdana" w:hAnsi="Verdana"/>
                <w:sz w:val="20"/>
                <w:szCs w:val="20"/>
              </w:rPr>
            </w:pPr>
            <w:r>
              <w:rPr>
                <w:rFonts w:ascii="Verdana" w:hAnsi="Verdana"/>
                <w:b/>
                <w:bCs/>
                <w:sz w:val="20"/>
                <w:szCs w:val="20"/>
              </w:rPr>
              <w:t>Descrição</w:t>
            </w:r>
          </w:p>
        </w:tc>
        <w:tc>
          <w:tcPr>
            <w:tcW w:w="5071" w:type="dxa"/>
            <w:gridSpan w:val="2"/>
            <w:tcBorders>
              <w:top w:val="single" w:sz="2" w:space="0" w:color="000000"/>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b/>
                <w:bCs/>
                <w:sz w:val="20"/>
                <w:szCs w:val="20"/>
              </w:rPr>
              <w:t>QUANTIDADE POR UG</w:t>
            </w:r>
          </w:p>
        </w:tc>
      </w:tr>
      <w:tr>
        <w:trPr/>
        <w:tc>
          <w:tcPr>
            <w:tcW w:w="750" w:type="dxa"/>
            <w:vMerge w:val="continue"/>
            <w:tcBorders>
              <w:top w:val="single" w:sz="2" w:space="0" w:color="000000"/>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b/>
                <w:bCs/>
                <w:sz w:val="20"/>
                <w:szCs w:val="20"/>
              </w:rPr>
            </w:pPr>
            <w:r>
              <w:rPr>
                <w:rFonts w:ascii="Verdana" w:hAnsi="Verdana"/>
                <w:b/>
                <w:bCs/>
                <w:sz w:val="20"/>
                <w:szCs w:val="20"/>
              </w:rPr>
            </w:r>
          </w:p>
        </w:tc>
        <w:tc>
          <w:tcPr>
            <w:tcW w:w="3810" w:type="dxa"/>
            <w:vMerge w:val="continue"/>
            <w:tcBorders>
              <w:top w:val="single" w:sz="2" w:space="0" w:color="000000"/>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b/>
                <w:bCs/>
                <w:sz w:val="20"/>
                <w:szCs w:val="20"/>
              </w:rPr>
            </w:pPr>
            <w:r>
              <w:rPr>
                <w:rFonts w:ascii="Verdana" w:hAnsi="Verdana"/>
                <w:b/>
                <w:bCs/>
                <w:sz w:val="20"/>
                <w:szCs w:val="20"/>
              </w:rPr>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b/>
                <w:bCs/>
                <w:sz w:val="20"/>
                <w:szCs w:val="20"/>
              </w:rPr>
              <w:t>Social</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b/>
                <w:bCs/>
                <w:sz w:val="20"/>
                <w:szCs w:val="20"/>
              </w:rPr>
              <w:t>Prefeitura</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eastAsia="Times New Roman" w:cs="Times New Roman" w:ascii="Verdana" w:hAnsi="Verdana"/>
                <w:color w:val="auto"/>
                <w:kern w:val="0"/>
                <w:sz w:val="20"/>
                <w:szCs w:val="20"/>
                <w:lang w:val="pt-BR" w:eastAsia="zh-CN" w:bidi="ar-SA"/>
              </w:rPr>
              <w:t>01</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Cadeira giratória</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150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300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02</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Cadeira fixa</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03</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Mesa reunião 06 lugares</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20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04</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Banco longarina</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05</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Armario de aço comporta e moldura</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20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50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06</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Ármario de aço montável</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40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50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07</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Cadeira plástica</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2.000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08</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Mesa plástica</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600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09</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Mesa de escritório</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08</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Poltrona 02 lugares</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20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11</w:t>
            </w:r>
          </w:p>
          <w:p>
            <w:pPr>
              <w:pStyle w:val="Contedodatabela"/>
              <w:widowControl w:val="false"/>
              <w:spacing w:lineRule="auto" w:line="240"/>
              <w:jc w:val="center"/>
              <w:rPr>
                <w:rFonts w:ascii="Verdana" w:hAnsi="Verdana"/>
                <w:sz w:val="20"/>
                <w:szCs w:val="20"/>
              </w:rPr>
            </w:pPr>
            <w:r>
              <w:rPr>
                <w:rFonts w:ascii="Verdana" w:hAnsi="Verdana"/>
                <w:sz w:val="20"/>
                <w:szCs w:val="20"/>
              </w:rPr>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Gaveteiro Volante</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25</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40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12</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Estação de trabalho</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40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100</w:t>
            </w:r>
          </w:p>
        </w:tc>
      </w:tr>
      <w:tr>
        <w:trPr/>
        <w:tc>
          <w:tcPr>
            <w:tcW w:w="750"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13</w:t>
            </w:r>
          </w:p>
        </w:tc>
        <w:tc>
          <w:tcPr>
            <w:tcW w:w="3810" w:type="dxa"/>
            <w:tcBorders>
              <w:left w:val="single" w:sz="2" w:space="0" w:color="000000"/>
              <w:bottom w:val="single" w:sz="2" w:space="0" w:color="000000"/>
            </w:tcBorders>
            <w:shd w:fill="auto" w:val="clear"/>
          </w:tcPr>
          <w:p>
            <w:pPr>
              <w:pStyle w:val="Contedodatabela"/>
              <w:widowControl w:val="false"/>
              <w:bidi w:val="0"/>
              <w:spacing w:lineRule="auto" w:line="240" w:before="0" w:after="0"/>
              <w:jc w:val="left"/>
              <w:rPr>
                <w:rFonts w:ascii="Verdana" w:hAnsi="Verdana"/>
                <w:sz w:val="20"/>
                <w:szCs w:val="20"/>
              </w:rPr>
            </w:pPr>
            <w:r>
              <w:rPr>
                <w:rFonts w:eastAsia="Times New Roman" w:cs="Times New Roman" w:ascii="Verdana" w:hAnsi="Verdana"/>
                <w:color w:val="auto"/>
                <w:kern w:val="0"/>
                <w:sz w:val="20"/>
                <w:szCs w:val="20"/>
                <w:lang w:val="pt-BR" w:eastAsia="zh-CN" w:bidi="ar-SA"/>
              </w:rPr>
              <w:t>Mesa refeitório</w:t>
            </w:r>
          </w:p>
        </w:tc>
        <w:tc>
          <w:tcPr>
            <w:tcW w:w="3676" w:type="dxa"/>
            <w:tcBorders>
              <w:left w:val="single" w:sz="2" w:space="0" w:color="000000"/>
              <w:bottom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10</w:t>
            </w:r>
          </w:p>
        </w:tc>
        <w:tc>
          <w:tcPr>
            <w:tcW w:w="1395" w:type="dxa"/>
            <w:tcBorders>
              <w:left w:val="single" w:sz="2" w:space="0" w:color="000000"/>
              <w:bottom w:val="single" w:sz="2" w:space="0" w:color="000000"/>
              <w:right w:val="single" w:sz="2" w:space="0" w:color="000000"/>
            </w:tcBorders>
            <w:shd w:fill="auto" w:val="clear"/>
          </w:tcPr>
          <w:p>
            <w:pPr>
              <w:pStyle w:val="Contedodatabela"/>
              <w:widowControl w:val="false"/>
              <w:spacing w:lineRule="auto" w:line="240"/>
              <w:jc w:val="center"/>
              <w:rPr>
                <w:rFonts w:ascii="Verdana" w:hAnsi="Verdana"/>
                <w:sz w:val="20"/>
                <w:szCs w:val="20"/>
              </w:rPr>
            </w:pPr>
            <w:r>
              <w:rPr>
                <w:rFonts w:ascii="Verdana" w:hAnsi="Verdana"/>
                <w:sz w:val="20"/>
                <w:szCs w:val="20"/>
              </w:rPr>
              <w:t>20</w:t>
            </w:r>
          </w:p>
        </w:tc>
      </w:tr>
    </w:tbl>
    <w:p>
      <w:pPr>
        <w:pStyle w:val="Normal"/>
        <w:spacing w:lineRule="auto" w:line="240" w:before="0" w:after="0"/>
        <w:jc w:val="both"/>
        <w:rPr>
          <w:rFonts w:ascii="Verdana" w:hAnsi="Verdana"/>
          <w:b/>
          <w:bCs/>
          <w:sz w:val="20"/>
          <w:szCs w:val="20"/>
        </w:rPr>
      </w:pPr>
      <w:r>
        <w:rPr>
          <w:rFonts w:ascii="Verdana" w:hAnsi="Verdana"/>
          <w:b/>
          <w:bCs/>
          <w:sz w:val="20"/>
          <w:szCs w:val="20"/>
        </w:rPr>
      </w:r>
    </w:p>
    <w:p>
      <w:pPr>
        <w:pStyle w:val="Normal"/>
        <w:spacing w:lineRule="auto" w:line="240" w:before="0" w:after="0"/>
        <w:jc w:val="both"/>
        <w:rPr>
          <w:rFonts w:ascii="Verdana" w:hAnsi="Verdana"/>
          <w:sz w:val="20"/>
          <w:szCs w:val="20"/>
        </w:rPr>
      </w:pPr>
      <w:r>
        <w:rPr>
          <w:rFonts w:ascii="Verdana" w:hAnsi="Verdana"/>
          <w:b/>
          <w:bCs/>
          <w:sz w:val="20"/>
          <w:szCs w:val="20"/>
          <w:shd w:fill="auto" w:val="clear"/>
        </w:rPr>
        <w:t>5.13. Da qualificação técnica.</w:t>
      </w:r>
    </w:p>
    <w:p>
      <w:pPr>
        <w:pStyle w:val="Normal"/>
        <w:spacing w:lineRule="auto" w:line="240" w:before="0" w:after="0"/>
        <w:jc w:val="both"/>
        <w:rPr>
          <w:rFonts w:ascii="Verdana" w:hAnsi="Verdana"/>
          <w:sz w:val="20"/>
          <w:szCs w:val="20"/>
        </w:rPr>
      </w:pPr>
      <w:r>
        <w:rPr>
          <w:rFonts w:ascii="Verdana" w:hAnsi="Verdana"/>
          <w:b w:val="false"/>
          <w:bCs w:val="false"/>
          <w:sz w:val="20"/>
          <w:szCs w:val="20"/>
          <w:shd w:fill="auto" w:val="clear"/>
        </w:rPr>
        <w:t xml:space="preserve">5.13.1. Comprovação de aptidão para desempenho de atividade pertinente e compatível com o objeto desta </w:t>
      </w:r>
      <w:r>
        <w:rPr>
          <w:rFonts w:eastAsia="Times New Roman" w:cs="Times New Roman" w:ascii="Verdana" w:hAnsi="Verdana"/>
          <w:b w:val="false"/>
          <w:bCs w:val="false"/>
          <w:color w:val="000000"/>
          <w:kern w:val="0"/>
          <w:sz w:val="20"/>
          <w:szCs w:val="20"/>
          <w:shd w:fill="auto" w:val="clear"/>
          <w:lang w:val="pt-BR" w:eastAsia="zh-CN" w:bidi="ar-SA"/>
        </w:rPr>
        <w:t>aquisição</w:t>
      </w:r>
      <w:r>
        <w:rPr>
          <w:rFonts w:ascii="Verdana" w:hAnsi="Verdana"/>
          <w:b w:val="false"/>
          <w:bCs w:val="false"/>
          <w:sz w:val="20"/>
          <w:szCs w:val="20"/>
          <w:shd w:fill="auto" w:val="clear"/>
        </w:rPr>
        <w:t>.</w:t>
      </w:r>
    </w:p>
    <w:p>
      <w:pPr>
        <w:pStyle w:val="Normal"/>
        <w:spacing w:lineRule="auto" w:line="240" w:before="0" w:after="0"/>
        <w:jc w:val="both"/>
        <w:rPr>
          <w:rFonts w:ascii="Verdana" w:hAnsi="Verdana"/>
          <w:sz w:val="20"/>
          <w:szCs w:val="20"/>
        </w:rPr>
      </w:pPr>
      <w:r>
        <w:rPr>
          <w:rFonts w:cs="Arial" w:ascii="Verdana" w:hAnsi="Verdana"/>
          <w:b w:val="false"/>
          <w:bCs w:val="false"/>
          <w:i w:val="false"/>
          <w:iCs w:val="false"/>
          <w:color w:val="000000"/>
          <w:sz w:val="20"/>
          <w:szCs w:val="20"/>
          <w:shd w:fill="auto" w:val="clear"/>
        </w:rPr>
        <w:t>5.13.2. Registro da pessoa jurídica (CONTRATADA) nos órgãos competentes e Conselho Regional da classe, se for o caso.</w:t>
      </w:r>
    </w:p>
    <w:p>
      <w:pPr>
        <w:pStyle w:val="Normal"/>
        <w:spacing w:lineRule="auto" w:line="240" w:before="0" w:after="0"/>
        <w:jc w:val="both"/>
        <w:rPr>
          <w:rFonts w:ascii="Verdana" w:hAnsi="Verdana"/>
          <w:sz w:val="20"/>
          <w:szCs w:val="20"/>
        </w:rPr>
      </w:pPr>
      <w:r>
        <w:rPr>
          <w:rFonts w:ascii="Verdana" w:hAnsi="Verdana"/>
          <w:sz w:val="20"/>
          <w:szCs w:val="20"/>
        </w:rPr>
      </w:r>
    </w:p>
    <w:p>
      <w:pPr>
        <w:pStyle w:val="Nivel1"/>
        <w:suppressAutoHyphens w:val="true"/>
        <w:spacing w:lineRule="auto" w:line="240" w:before="0" w:after="0"/>
        <w:ind w:left="0" w:right="0" w:hanging="0"/>
        <w:rPr>
          <w:rFonts w:ascii="Verdana" w:hAnsi="Verdana"/>
          <w:sz w:val="20"/>
          <w:szCs w:val="20"/>
        </w:rPr>
      </w:pPr>
      <w:r>
        <w:rPr>
          <w:rFonts w:ascii="Verdana" w:hAnsi="Verdana"/>
          <w:i w:val="false"/>
          <w:iCs w:val="false"/>
          <w:sz w:val="20"/>
          <w:szCs w:val="20"/>
        </w:rPr>
        <w:t>6. ENTREGA E CRITÉRIOS DE ACEITAÇÃO DO OBJETO.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6.1. </w:t>
      </w:r>
      <w:r>
        <w:rPr>
          <w:rFonts w:cs="Arial" w:ascii="Verdana" w:hAnsi="Verdana"/>
          <w:b w:val="false"/>
          <w:bCs w:val="false"/>
          <w:sz w:val="20"/>
          <w:szCs w:val="20"/>
        </w:rPr>
        <w:t xml:space="preserve">O fornecedor deverá entregar as mercadorias no prazo </w:t>
      </w:r>
      <w:r>
        <w:rPr>
          <w:rFonts w:eastAsia="Times New Roman" w:cs="Arial" w:ascii="Verdana" w:hAnsi="Verdana"/>
          <w:b w:val="false"/>
          <w:bCs w:val="false"/>
          <w:sz w:val="20"/>
          <w:szCs w:val="20"/>
        </w:rPr>
        <w:t xml:space="preserve">estipulado, </w:t>
      </w:r>
      <w:r>
        <w:rPr>
          <w:rFonts w:eastAsia="Times New Roman" w:cs="Arial" w:ascii="Verdana" w:hAnsi="Verdana"/>
          <w:b w:val="false"/>
          <w:bCs w:val="false"/>
          <w:sz w:val="20"/>
          <w:szCs w:val="20"/>
          <w:lang w:eastAsia="zh-CN"/>
        </w:rPr>
        <w:t>de até 15 (quinze) dias corridos para a entrega, a partir do recebimento da Ordem de Fornecimento</w:t>
      </w:r>
      <w:r>
        <w:rPr>
          <w:rFonts w:cs="Arial" w:ascii="Verdana" w:hAnsi="Verdana"/>
          <w:b w:val="false"/>
          <w:bCs w:val="false"/>
          <w:sz w:val="20"/>
          <w:szCs w:val="20"/>
        </w:rPr>
        <w:t xml:space="preserve"> emitida pelo Departamento de Compras.</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6.2. A entrega será feita </w:t>
      </w:r>
      <w:r>
        <w:rPr>
          <w:rFonts w:eastAsia="Times New Roman" w:cs="Arial" w:ascii="Verdana" w:hAnsi="Verdana"/>
          <w:b w:val="false"/>
          <w:bCs w:val="false"/>
          <w:i w:val="false"/>
          <w:iCs w:val="false"/>
          <w:color w:val="000000"/>
          <w:kern w:val="0"/>
          <w:sz w:val="20"/>
          <w:szCs w:val="20"/>
          <w:lang w:val="pt-BR" w:eastAsia="pt-BR" w:bidi="ar-SA"/>
        </w:rPr>
        <w:t>no Departamento de Almoxarifado Central</w:t>
      </w:r>
      <w:r>
        <w:rPr>
          <w:rFonts w:eastAsia="Times New Roman" w:cs="Arial" w:ascii="Verdana" w:hAnsi="Verdana"/>
          <w:b w:val="false"/>
          <w:bCs w:val="false"/>
          <w:i w:val="false"/>
          <w:iCs w:val="false"/>
          <w:color w:val="000000"/>
          <w:sz w:val="20"/>
          <w:szCs w:val="20"/>
        </w:rPr>
        <w:t xml:space="preserve">, situado à </w:t>
      </w:r>
      <w:r>
        <w:rPr>
          <w:rFonts w:eastAsia="Times New Roman" w:cs="Arial" w:ascii="Verdana" w:hAnsi="Verdana"/>
          <w:b w:val="false"/>
          <w:bCs w:val="false"/>
          <w:i w:val="false"/>
          <w:iCs w:val="false"/>
          <w:color w:val="000000"/>
          <w:kern w:val="0"/>
          <w:sz w:val="20"/>
          <w:szCs w:val="20"/>
          <w:lang w:val="pt-BR" w:eastAsia="pt-BR" w:bidi="ar-SA"/>
        </w:rPr>
        <w:t>Praça Vicente Glazar, 159,</w:t>
      </w:r>
      <w:r>
        <w:rPr>
          <w:rFonts w:eastAsia="Times New Roman" w:cs="Arial" w:ascii="Verdana" w:hAnsi="Verdana"/>
          <w:b w:val="false"/>
          <w:bCs w:val="false"/>
          <w:i w:val="false"/>
          <w:iCs w:val="false"/>
          <w:color w:val="000000"/>
          <w:sz w:val="20"/>
          <w:szCs w:val="20"/>
        </w:rPr>
        <w:t xml:space="preserve"> Bairro Glória, </w:t>
      </w:r>
      <w:r>
        <w:rPr>
          <w:rFonts w:cs="Arial" w:ascii="Verdana" w:hAnsi="Verdana"/>
          <w:b w:val="false"/>
          <w:bCs w:val="false"/>
          <w:i w:val="false"/>
          <w:iCs w:val="false"/>
          <w:color w:val="000000"/>
          <w:sz w:val="20"/>
          <w:szCs w:val="20"/>
        </w:rPr>
        <w:t>neste município.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Cep.: 29780-000</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Telefone. (27) </w:t>
      </w:r>
      <w:r>
        <w:rPr>
          <w:rFonts w:eastAsia="Times New Roman" w:cs="Arial" w:ascii="Verdana" w:hAnsi="Verdana"/>
          <w:b w:val="false"/>
          <w:bCs w:val="false"/>
          <w:i w:val="false"/>
          <w:iCs w:val="false"/>
          <w:color w:val="000000"/>
          <w:sz w:val="20"/>
          <w:szCs w:val="20"/>
        </w:rPr>
        <w:t>99975-6571</w:t>
      </w:r>
    </w:p>
    <w:p>
      <w:pPr>
        <w:pStyle w:val="Normal"/>
        <w:spacing w:lineRule="auto" w:line="240"/>
        <w:ind w:left="0" w:right="0" w:hanging="0"/>
        <w:jc w:val="both"/>
        <w:rPr/>
      </w:pPr>
      <w:r>
        <w:rPr>
          <w:rFonts w:cs="Arial" w:ascii="Verdana" w:hAnsi="Verdana"/>
          <w:b w:val="false"/>
          <w:bCs w:val="false"/>
          <w:i w:val="false"/>
          <w:iCs w:val="false"/>
          <w:color w:val="000000"/>
          <w:sz w:val="20"/>
          <w:szCs w:val="20"/>
        </w:rPr>
        <w:t xml:space="preserve">E-mail. </w:t>
      </w:r>
      <w:r>
        <w:rPr>
          <w:rStyle w:val="LinkdaInternet"/>
          <w:rFonts w:cs="Arial" w:ascii="Verdana" w:hAnsi="Verdana"/>
          <w:b w:val="false"/>
          <w:bCs w:val="false"/>
          <w:i w:val="false"/>
          <w:iCs w:val="false"/>
          <w:color w:val="000000"/>
          <w:sz w:val="20"/>
          <w:szCs w:val="20"/>
          <w:u w:val="none"/>
        </w:rPr>
        <w:t>assistenciasgp@gmail.com</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Responsável: Secretaria Municipal de Assistência, Desenvolvimento Social e Família</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6.3. O prazo de validade na data da entrega não poderá ser inferior à metade do prazo total recomendado pelo fabricante.</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6.4. Os bens serão recebidos provisoriamente no prazo de 02 (dois) dias, pelo (a) responsável pelo acompanhamento e fiscalização da ata de registro de preços, para efeito de posterior verificação de sua conformidade com as especificações constantes neste Termo de Referência e na proposta.</w:t>
      </w:r>
      <w:r>
        <w:rPr>
          <w:rFonts w:ascii="Verdana" w:hAnsi="Verdana"/>
          <w:sz w:val="20"/>
          <w:szCs w:val="20"/>
        </w:rPr>
        <w:br/>
      </w:r>
      <w:r>
        <w:rPr>
          <w:rFonts w:cs="Arial" w:ascii="Verdana" w:hAnsi="Verdana"/>
          <w:b w:val="false"/>
          <w:bCs w:val="false"/>
          <w:i w:val="false"/>
          <w:iCs w:val="false"/>
          <w:color w:val="000000"/>
          <w:sz w:val="20"/>
          <w:szCs w:val="20"/>
        </w:rPr>
        <w:t xml:space="preserve">6.5. Os </w:t>
      </w:r>
      <w:r>
        <w:rPr>
          <w:rFonts w:eastAsia="Times New Roman" w:cs="Arial" w:ascii="Verdana" w:hAnsi="Verdana"/>
          <w:b w:val="false"/>
          <w:bCs w:val="false"/>
          <w:i w:val="false"/>
          <w:iCs w:val="false"/>
          <w:color w:val="000000"/>
          <w:sz w:val="20"/>
          <w:szCs w:val="20"/>
        </w:rPr>
        <w:t>itens</w:t>
      </w:r>
      <w:r>
        <w:rPr>
          <w:rFonts w:cs="Arial" w:ascii="Verdana" w:hAnsi="Verdana"/>
          <w:b w:val="false"/>
          <w:bCs w:val="false"/>
          <w:i w:val="false"/>
          <w:iCs w:val="false"/>
          <w:color w:val="000000"/>
          <w:sz w:val="20"/>
          <w:szCs w:val="20"/>
        </w:rPr>
        <w:t xml:space="preserve"> poderão ser rejeitados, no todo ou em parte, quando em desacordo com as especificações constantes neste Termo de Referência e na proposta, devendo ser substituídos no prazo de 24h (vinte e quatro horas), a contar da notificação</w:t>
      </w:r>
      <w:r>
        <w:rPr>
          <w:rFonts w:ascii="Verdana" w:hAnsi="Verdana"/>
          <w:sz w:val="20"/>
          <w:szCs w:val="20"/>
        </w:rPr>
        <w:br/>
      </w:r>
      <w:r>
        <w:rPr>
          <w:rFonts w:cs="Arial" w:ascii="Verdana" w:hAnsi="Verdana"/>
          <w:b w:val="false"/>
          <w:bCs w:val="false"/>
          <w:i w:val="false"/>
          <w:iCs w:val="false"/>
          <w:color w:val="000000"/>
          <w:sz w:val="20"/>
          <w:szCs w:val="20"/>
        </w:rPr>
        <w:t>da contratada, às suas custas, sem prejuízo da aplicação das penalidades.</w:t>
      </w:r>
      <w:r>
        <w:rPr>
          <w:rFonts w:ascii="Verdana" w:hAnsi="Verdana"/>
          <w:sz w:val="20"/>
          <w:szCs w:val="20"/>
        </w:rPr>
        <w:br/>
      </w:r>
      <w:r>
        <w:rPr>
          <w:rFonts w:cs="Arial" w:ascii="Verdana" w:hAnsi="Verdana"/>
          <w:b w:val="false"/>
          <w:bCs w:val="false"/>
          <w:i w:val="false"/>
          <w:iCs w:val="false"/>
          <w:color w:val="000000"/>
          <w:sz w:val="20"/>
          <w:szCs w:val="20"/>
        </w:rPr>
        <w:t>6.6.</w:t>
      </w:r>
      <w:r>
        <w:rPr>
          <w:rFonts w:cs="Arial" w:ascii="Verdana" w:hAnsi="Verdana"/>
          <w:i w:val="false"/>
          <w:iCs w:val="false"/>
          <w:color w:val="000000"/>
          <w:sz w:val="20"/>
          <w:szCs w:val="20"/>
        </w:rPr>
        <w:t xml:space="preserve"> O recebimento provisório ou definitivo do objeto não exclui a responsabilidade da contratada pelos prejuízos resultantes da incorreta execução do contrato.</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7. OBRIGAÇÕES DA CONTRATANTE</w:t>
      </w:r>
    </w:p>
    <w:p>
      <w:pPr>
        <w:pStyle w:val="Normal"/>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objetos no prazo e condições estabelecidas neste Termo de Referência e seus anexos.</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7.2. </w:t>
      </w:r>
      <w:bookmarkStart w:id="4" w:name="page68R_mcid7"/>
      <w:r>
        <w:rPr>
          <w:rFonts w:cs="Arial" w:ascii="Verdana" w:hAnsi="Verdana"/>
          <w:b w:val="false"/>
          <w:bCs w:val="false"/>
          <w:i w:val="false"/>
          <w:iCs w:val="false"/>
          <w:color w:val="000000"/>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7.4. Acompanhar e fiscalizar o cumprimento das obrigações da Contratada, através de comissão/servidor especialmente designado.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7.5. Efetuar o pagamento à Contratada no valor correspondente ao fornecimento dos objetos, no prazo e forma estabelecidos neste TR e seus anexos.</w:t>
      </w:r>
    </w:p>
    <w:p>
      <w:pPr>
        <w:pStyle w:val="Normal"/>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rPr>
        <w:t>Ata de Registro de Preços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8. OBRIGAÇÕES DA CONTRATADA</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72 (setenta e duas) horas que antecede a data da entrega, os motivos que impossibilitem o cumprimento do prazo previsto, com a devida comprovação.</w:t>
      </w:r>
    </w:p>
    <w:p>
      <w:pPr>
        <w:pStyle w:val="Normal"/>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 xml:space="preserve">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8.9.Durante a execução da ata de registro de preços, 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deverá:</w:t>
      </w:r>
      <w:r>
        <w:rPr>
          <w:rFonts w:ascii="Verdana" w:hAnsi="Verdana"/>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sz w:val="20"/>
          <w:szCs w:val="20"/>
        </w:rPr>
        <w:t>da secretaria e seus equipamentos</w:t>
      </w:r>
      <w:r>
        <w:rPr>
          <w:rFonts w:cs="Arial" w:ascii="Verdana" w:hAnsi="Verdana"/>
          <w:b w:val="false"/>
          <w:bCs w:val="false"/>
          <w:i w:val="false"/>
          <w:iCs w:val="false"/>
          <w:color w:val="000000"/>
          <w:sz w:val="20"/>
          <w:szCs w:val="20"/>
        </w:rPr>
        <w:t>, no fornecimento d</w:t>
      </w:r>
      <w:r>
        <w:rPr>
          <w:rFonts w:eastAsia="Times New Roman" w:cs="Arial" w:ascii="Verdana" w:hAnsi="Verdana"/>
          <w:b w:val="false"/>
          <w:bCs w:val="false"/>
          <w:i w:val="false"/>
          <w:iCs w:val="false"/>
          <w:color w:val="000000"/>
          <w:sz w:val="20"/>
          <w:szCs w:val="20"/>
        </w:rPr>
        <w:t>os objetos</w:t>
      </w:r>
      <w:r>
        <w:rPr>
          <w:rFonts w:cs="Arial" w:ascii="Verdana" w:hAnsi="Verdana"/>
          <w:b w:val="false"/>
          <w:bCs w:val="false"/>
          <w:i w:val="false"/>
          <w:iCs w:val="false"/>
          <w:color w:val="000000"/>
          <w:sz w:val="20"/>
          <w:szCs w:val="20"/>
        </w:rPr>
        <w:t xml:space="preserve"> nas quantidades e especificações deste </w:t>
      </w:r>
      <w:r>
        <w:rPr>
          <w:rFonts w:eastAsia="Times New Roman" w:cs="Arial" w:ascii="Verdana" w:hAnsi="Verdana"/>
          <w:b w:val="false"/>
          <w:bCs w:val="false"/>
          <w:i w:val="false"/>
          <w:iCs w:val="false"/>
          <w:color w:val="000000"/>
          <w:sz w:val="20"/>
          <w:szCs w:val="20"/>
        </w:rPr>
        <w:t>termo de referência.</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 xml:space="preserve">2. Entregar os </w:t>
      </w:r>
      <w:r>
        <w:rPr>
          <w:rFonts w:eastAsia="Times New Roman" w:cs="Arial" w:ascii="Verdana" w:hAnsi="Verdana"/>
          <w:b w:val="false"/>
          <w:bCs w:val="false"/>
          <w:i w:val="false"/>
          <w:iCs w:val="false"/>
          <w:color w:val="000000"/>
          <w:sz w:val="20"/>
          <w:szCs w:val="20"/>
        </w:rPr>
        <w:t>objetos</w:t>
      </w:r>
      <w:r>
        <w:rPr>
          <w:rFonts w:cs="Arial" w:ascii="Verdana" w:hAnsi="Verdana"/>
          <w:b w:val="false"/>
          <w:bCs w:val="false"/>
          <w:i w:val="false"/>
          <w:iCs w:val="false"/>
          <w:color w:val="000000"/>
          <w:sz w:val="20"/>
          <w:szCs w:val="20"/>
        </w:rPr>
        <w:t xml:space="preserve">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A nota fiscal deverá ser acompanhada pelas Certidões de Regularidades Fiscais.</w:t>
      </w:r>
      <w:r>
        <w:rPr>
          <w:rFonts w:ascii="Verdana" w:hAnsi="Verdana"/>
          <w:sz w:val="20"/>
          <w:szCs w:val="20"/>
        </w:rPr>
        <w:br/>
      </w:r>
      <w:r>
        <w:rPr>
          <w:rFonts w:eastAsia="Times New Roman" w:cs="Arial" w:ascii="Verdana" w:hAnsi="Verdana"/>
          <w:b w:val="false"/>
          <w:bCs w:val="false"/>
          <w:i w:val="false"/>
          <w:iCs w:val="false"/>
          <w:color w:val="000000"/>
          <w:sz w:val="20"/>
          <w:szCs w:val="20"/>
        </w:rPr>
        <w:t xml:space="preserve">8.9.4. </w:t>
      </w:r>
      <w:bookmarkStart w:id="6" w:name="_GoBack1111"/>
      <w:r>
        <w:rPr>
          <w:rFonts w:cs="Arial" w:ascii="Verdana" w:hAnsi="Verdana"/>
          <w:b w:val="false"/>
          <w:bCs w:val="false"/>
          <w:i w:val="false"/>
          <w:iCs w:val="false"/>
          <w:color w:val="000000"/>
          <w:sz w:val="20"/>
          <w:szCs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9. DO CONTROLE E FISCALIZAÇÃO DA EXECUÇÃO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9.1. A fiscalização será realizado por servidor da secretaria requisitante para acompanhar e fiscalizar a entrega dos bens, anotando em registro próprio todas as ocorrências relacionadas com a execução e determinando o que for necessário à regularização de falhas ou defeitos observados.</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ascii="Verdana" w:hAnsi="Verdana"/>
          <w:b/>
          <w:bCs/>
          <w:sz w:val="20"/>
          <w:szCs w:val="20"/>
        </w:rPr>
        <w:t>10. CRITÉRIOS DE PAGAMENTO</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lang w:eastAsia="en-US"/>
        </w:rPr>
        <w:t xml:space="preserve">10.1. 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ind w:left="-22" w:right="0" w:hanging="0"/>
        <w:jc w:val="both"/>
        <w:rPr/>
      </w:pPr>
      <w:r>
        <w:rPr>
          <w:rFonts w:ascii="Verdana" w:hAnsi="Verdana"/>
          <w:b w:val="false"/>
          <w:bCs w:val="false"/>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ind w:left="-22" w:right="0" w:hanging="0"/>
        <w:jc w:val="both"/>
        <w:rPr>
          <w:rFonts w:ascii="Verdana" w:hAnsi="Verdana"/>
          <w:sz w:val="20"/>
          <w:szCs w:val="20"/>
        </w:rPr>
      </w:pPr>
      <w:r>
        <w:rPr>
          <w:rFonts w:ascii="Verdana" w:hAnsi="Verdana"/>
          <w:b w:val="false"/>
          <w:bCs w:val="false"/>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O prazo de validade;</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A data da emissão;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 valor a pagar; 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625" w:leader="none"/>
        </w:tabs>
        <w:spacing w:lineRule="auto" w:line="240"/>
        <w:ind w:left="-57" w:right="0" w:hanging="0"/>
        <w:jc w:val="both"/>
        <w:rPr>
          <w:rFonts w:ascii="Verdana" w:hAnsi="Verdana"/>
          <w:sz w:val="20"/>
          <w:szCs w:val="20"/>
        </w:rPr>
      </w:pPr>
      <w:r>
        <w:rPr>
          <w:rFonts w:ascii="Verdana" w:hAnsi="Verdana"/>
          <w:b w:val="false"/>
          <w:bCs w:val="false"/>
          <w:sz w:val="20"/>
          <w:szCs w:val="20"/>
        </w:rPr>
        <w:t>10.4. Haven</w:t>
      </w:r>
      <w:r>
        <w:rPr>
          <w:rFonts w:ascii="Verdana" w:hAnsi="Verdana"/>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right="0" w:hanging="0"/>
        <w:jc w:val="both"/>
        <w:rPr/>
      </w:pPr>
      <w:r>
        <w:rPr>
          <w:rFonts w:ascii="Verdana" w:hAnsi="Verdana"/>
          <w:b w:val="false"/>
          <w:bCs w:val="false"/>
          <w:sz w:val="20"/>
          <w:szCs w:val="20"/>
        </w:rPr>
        <w:t>10.5. A</w:t>
      </w:r>
      <w:r>
        <w:rPr>
          <w:rFonts w:ascii="Verdana" w:hAnsi="Verdana"/>
          <w:b w:val="false"/>
          <w:bCs w:val="false"/>
          <w:sz w:val="20"/>
          <w:szCs w:val="20"/>
          <w:lang w:eastAsia="en-US"/>
        </w:rPr>
        <w:t xml:space="preserve"> nota fisc</w:t>
      </w:r>
      <w:r>
        <w:rPr>
          <w:rFonts w:ascii="Verdana" w:hAnsi="Verdana"/>
          <w:sz w:val="20"/>
          <w:szCs w:val="20"/>
          <w:lang w:eastAsia="en-US"/>
        </w:rPr>
        <w:t>al ou instrumento de cobrança equivalente deverá ser obrigatoriamente acompanhado da comprovação da regularidade fiscal</w:t>
      </w:r>
      <w:r>
        <w:rPr>
          <w:rStyle w:val="LinkdaInternet"/>
          <w:rFonts w:ascii="Verdana" w:hAnsi="Verdana"/>
          <w:sz w:val="20"/>
          <w:szCs w:val="20"/>
          <w:lang w:eastAsia="en-US"/>
        </w:rPr>
        <w:t>.</w:t>
      </w:r>
    </w:p>
    <w:p>
      <w:pPr>
        <w:pStyle w:val="Normal"/>
        <w:spacing w:lineRule="auto" w:line="240"/>
        <w:ind w:left="-22" w:right="0" w:hanging="0"/>
        <w:jc w:val="both"/>
        <w:rPr>
          <w:rFonts w:ascii="Verdana" w:hAnsi="Verdana"/>
          <w:sz w:val="20"/>
          <w:szCs w:val="20"/>
        </w:rPr>
      </w:pPr>
      <w:r>
        <w:rPr>
          <w:rFonts w:ascii="Verdana" w:hAnsi="Verdana"/>
          <w:b w:val="false"/>
          <w:bCs w:val="false"/>
          <w:i w:val="false"/>
          <w:iCs w:val="false"/>
          <w:sz w:val="20"/>
          <w:szCs w:val="20"/>
        </w:rPr>
        <w:t>10.6. O pagamento será efetuado no prazo de até 30 (trinta) dias úteis contados da finalização da liquidação da despesa.</w:t>
      </w:r>
    </w:p>
    <w:p>
      <w:pPr>
        <w:pStyle w:val="Normal"/>
        <w:spacing w:lineRule="auto" w:line="240"/>
        <w:ind w:left="-22" w:right="0" w:hanging="0"/>
        <w:jc w:val="both"/>
        <w:rPr>
          <w:rFonts w:ascii="Verdana" w:hAnsi="Verdana"/>
          <w:sz w:val="20"/>
          <w:szCs w:val="20"/>
        </w:rPr>
      </w:pPr>
      <w:r>
        <w:rPr>
          <w:rFonts w:ascii="Verdana" w:hAnsi="Verdana"/>
          <w:b w:val="false"/>
          <w:bCs w:val="false"/>
          <w:i w:val="false"/>
          <w:iCs w:val="false"/>
          <w:sz w:val="20"/>
          <w:szCs w:val="20"/>
        </w:rPr>
        <w:t>10.7. O pagamento será realizado por meio de ordem bancária, para crédito em banco, agência e conta corrente indicados pelo contratado.</w:t>
      </w:r>
    </w:p>
    <w:p>
      <w:pPr>
        <w:pStyle w:val="Normal"/>
        <w:spacing w:lineRule="auto" w:line="240"/>
        <w:ind w:left="-22" w:right="0" w:hanging="0"/>
        <w:jc w:val="both"/>
        <w:rPr>
          <w:rFonts w:ascii="Verdana" w:hAnsi="Verdana"/>
          <w:sz w:val="20"/>
          <w:szCs w:val="20"/>
        </w:rPr>
      </w:pPr>
      <w:r>
        <w:rPr>
          <w:rFonts w:ascii="Verdana" w:hAnsi="Verdana"/>
          <w:b w:val="false"/>
          <w:bCs w:val="false"/>
          <w:i w:val="false"/>
          <w:iCs w:val="false"/>
          <w:sz w:val="20"/>
          <w:szCs w:val="20"/>
        </w:rPr>
        <w:t>10.8. Será considerada data do pagamento o dia em que constar como emitida a ordem bancária para pagamento.</w:t>
      </w:r>
    </w:p>
    <w:p>
      <w:pPr>
        <w:pStyle w:val="Normal"/>
        <w:spacing w:lineRule="auto" w:line="240"/>
        <w:ind w:left="-79" w:right="0" w:hanging="0"/>
        <w:jc w:val="both"/>
        <w:rPr>
          <w:rFonts w:ascii="Verdana" w:hAnsi="Verdana"/>
          <w:sz w:val="20"/>
          <w:szCs w:val="20"/>
        </w:rPr>
      </w:pPr>
      <w:r>
        <w:rPr>
          <w:rFonts w:ascii="Verdana" w:hAnsi="Verdana"/>
          <w:b w:val="false"/>
          <w:bCs w:val="false"/>
          <w:i w:val="false"/>
          <w:iCs w:val="false"/>
          <w:sz w:val="20"/>
          <w:szCs w:val="20"/>
        </w:rPr>
        <w:t>10.9. Quando do pagamento, será efetuada a retenção tributária prevista na legislação aplicável.</w:t>
      </w:r>
    </w:p>
    <w:p>
      <w:pPr>
        <w:pStyle w:val="Normal"/>
        <w:spacing w:lineRule="auto" w:line="240"/>
        <w:ind w:left="-79" w:right="0" w:hanging="0"/>
        <w:jc w:val="both"/>
        <w:rPr/>
      </w:pPr>
      <w:r>
        <w:rPr>
          <w:rFonts w:ascii="Verdana" w:hAnsi="Verdana"/>
          <w:b w:val="false"/>
          <w:bCs w:val="false"/>
          <w:i w:val="false"/>
          <w:iCs w:val="false"/>
          <w:sz w:val="20"/>
          <w:szCs w:val="20"/>
          <w:lang w:eastAsia="en-US"/>
        </w:rPr>
        <w:t xml:space="preserve">10.10. O contratado regularmente optante pelo Simples Nacional, nos termos da </w:t>
      </w:r>
      <w:hyperlink r:id="rId2">
        <w:r>
          <w:rPr>
            <w:rFonts w:ascii="Verdana" w:hAnsi="Verdana"/>
            <w:b w:val="false"/>
            <w:bCs w:val="false"/>
            <w:i w:val="false"/>
            <w:iCs w:val="false"/>
            <w:sz w:val="20"/>
            <w:szCs w:val="20"/>
            <w:u w:val="none"/>
            <w:lang w:eastAsia="en-US"/>
          </w:rPr>
          <w:t>Lei Complementar nº 123, de 2006</w:t>
        </w:r>
      </w:hyperlink>
      <w:r>
        <w:rPr>
          <w:rFonts w:ascii="Verdana" w:hAnsi="Verdana"/>
          <w:b w:val="false"/>
          <w:bCs w:val="false"/>
          <w:i w:val="false"/>
          <w:i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right="0" w:hanging="0"/>
        <w:jc w:val="both"/>
        <w:rPr>
          <w:rFonts w:ascii="Verdana" w:hAnsi="Verdana"/>
          <w:sz w:val="20"/>
          <w:szCs w:val="20"/>
        </w:rPr>
      </w:pPr>
      <w:r>
        <w:rPr>
          <w:rFonts w:ascii="Verdana" w:hAnsi="Verdana"/>
          <w:b w:val="false"/>
          <w:bCs w:val="false"/>
          <w:i w:val="false"/>
          <w:iCs w:val="false"/>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ind w:left="-79" w:right="0" w:hanging="0"/>
        <w:jc w:val="both"/>
        <w:rPr>
          <w:rFonts w:ascii="Verdana" w:hAnsi="Verdana"/>
          <w:sz w:val="20"/>
          <w:szCs w:val="20"/>
        </w:rPr>
      </w:pPr>
      <w:r>
        <w:rPr>
          <w:rFonts w:ascii="Verdana" w:hAnsi="Verdana"/>
          <w:b w:val="false"/>
          <w:bCs w:val="false"/>
          <w:i w:val="false"/>
          <w:iCs w:val="false"/>
          <w:color w:val="000000"/>
          <w:sz w:val="20"/>
          <w:szCs w:val="20"/>
        </w:rPr>
        <w:t>10.11.</w:t>
      </w:r>
      <w:r>
        <w:rPr>
          <w:rFonts w:ascii="Verdana" w:hAnsi="Verdana"/>
          <w:b/>
          <w:bCs/>
          <w:color w:val="000000"/>
          <w:sz w:val="20"/>
          <w:szCs w:val="20"/>
        </w:rPr>
        <w:t xml:space="preserve"> </w:t>
      </w:r>
      <w:r>
        <w:rPr>
          <w:rFonts w:ascii="Verdana" w:hAnsi="Verdana"/>
          <w:sz w:val="20"/>
          <w:szCs w:val="20"/>
        </w:rPr>
        <w:t xml:space="preserve"> Após o prazo acima referenciado, será paga multa financeira nos seguintes termos:</w:t>
      </w:r>
    </w:p>
    <w:p>
      <w:pPr>
        <w:pStyle w:val="PargrafodaLista"/>
        <w:tabs>
          <w:tab w:val="clear" w:pos="708"/>
          <w:tab w:val="left" w:pos="518" w:leader="none"/>
        </w:tabs>
        <w:spacing w:lineRule="auto" w:line="240"/>
        <w:ind w:left="0" w:right="0" w:hanging="0"/>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240"/>
        <w:ind w:left="0" w:right="0" w:hanging="0"/>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40"/>
        <w:ind w:left="0" w:right="0" w:hanging="0"/>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 xml:space="preserve">municado ao CONTRATANTE, mediante documentação própria, para apreciação da autoridade competente. </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240"/>
        <w:jc w:val="both"/>
        <w:rPr>
          <w:rFonts w:ascii="Verdana" w:hAnsi="Verdana"/>
          <w:sz w:val="20"/>
          <w:szCs w:val="20"/>
        </w:rPr>
      </w:pPr>
      <w:r>
        <w:rPr>
          <w:rFonts w:cs="Arial" w:ascii="Verdana" w:hAnsi="Verdana"/>
          <w:b w:val="false"/>
          <w:bCs w:val="false"/>
          <w:sz w:val="20"/>
          <w:szCs w:val="20"/>
        </w:rPr>
        <w:t>10.15.</w:t>
      </w:r>
      <w:r>
        <w:rPr>
          <w:rFonts w:cs="Arial" w:ascii="Verdana" w:hAnsi="Verdana"/>
          <w:sz w:val="20"/>
          <w:szCs w:val="20"/>
        </w:rPr>
        <w:t xml:space="preserve"> Para a efetivação do pagamento, a CONTRATADA deverá manter as mesmas </w:t>
      </w:r>
      <w:r>
        <w:rPr>
          <w:rFonts w:cs="Arial" w:ascii="Verdana" w:hAnsi="Verdana"/>
          <w:sz w:val="20"/>
          <w:szCs w:val="20"/>
          <w:lang w:eastAsia="pt-BR"/>
        </w:rPr>
        <w:t>condições relativas à proposta de preço e a habilitação;</w:t>
      </w:r>
    </w:p>
    <w:p>
      <w:pPr>
        <w:pStyle w:val="Normal"/>
        <w:spacing w:lineRule="auto" w:line="240"/>
        <w:ind w:left="0" w:right="0" w:hanging="0"/>
        <w:jc w:val="both"/>
        <w:rPr>
          <w:rFonts w:ascii="Verdana" w:hAnsi="Verdana"/>
          <w:sz w:val="20"/>
          <w:szCs w:val="20"/>
        </w:rPr>
      </w:pPr>
      <w:r>
        <w:rPr>
          <w:rFonts w:eastAsia="Times New Roman" w:cs="Times New Roman" w:ascii="Verdana" w:hAnsi="Verdana"/>
          <w:b/>
          <w:bCs/>
          <w:iCs/>
          <w:color w:val="000000"/>
          <w:sz w:val="20"/>
          <w:szCs w:val="20"/>
        </w:rPr>
        <w:t>11</w:t>
      </w:r>
      <w:r>
        <w:rPr>
          <w:rFonts w:ascii="Verdana" w:hAnsi="Verdana"/>
          <w:b/>
          <w:bCs/>
          <w:iCs/>
          <w:sz w:val="20"/>
          <w:szCs w:val="20"/>
        </w:rPr>
        <w:t>. DAS SANÇÕES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 total;</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a dispensa eletrônica ou a execução do objeto.</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11.1.9. Fraudar a dispensa eletrônica ou praticar ato fraudulento na execução do objeto.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w:t>
      </w:r>
      <w:r>
        <w:rPr>
          <w:rFonts w:ascii="Verdana" w:hAnsi="Verdana"/>
          <w:iCs/>
          <w:sz w:val="20"/>
          <w:szCs w:val="20"/>
        </w:rPr>
        <w:t>rá sujeito, sem prejuízo da responsabilidade civil e criminal, às seguintes sanções:</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a) Advertência pela falta do subitem 11.1.1 deste Termo de Referência, quando não se justificar a imposição de penalidade mais grave.</w:t>
      </w:r>
    </w:p>
    <w:p>
      <w:pPr>
        <w:pStyle w:val="Normal"/>
        <w:spacing w:lineRule="auto" w:line="240"/>
        <w:ind w:left="-57"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240"/>
        <w:ind w:left="-57" w:right="0" w:hanging="0"/>
        <w:jc w:val="both"/>
        <w:rPr>
          <w:rFonts w:ascii="Verdana" w:hAnsi="Verdana"/>
          <w:sz w:val="20"/>
          <w:szCs w:val="20"/>
        </w:rPr>
      </w:pPr>
      <w:r>
        <w:rPr>
          <w:rFonts w:ascii="Verdana" w:hAnsi="Verdana"/>
          <w:iCs/>
          <w:sz w:val="20"/>
          <w:szCs w:val="20"/>
        </w:rPr>
        <w:tab/>
        <w:tab/>
        <w:t xml:space="preserve"> b.1) O valor da multa poderá ser descontado das faturas devidas à CONTRATADA;</w:t>
      </w:r>
    </w:p>
    <w:p>
      <w:pPr>
        <w:pStyle w:val="Normal"/>
        <w:spacing w:lineRule="auto" w:line="240"/>
        <w:ind w:left="0" w:right="0" w:hanging="0"/>
        <w:jc w:val="both"/>
        <w:rPr>
          <w:rFonts w:ascii="Verdana" w:hAnsi="Verdana"/>
          <w:sz w:val="20"/>
          <w:szCs w:val="20"/>
        </w:rPr>
      </w:pPr>
      <w:r>
        <w:rPr>
          <w:rFonts w:ascii="Verdana" w:hAnsi="Verdana"/>
          <w:iCs/>
          <w:sz w:val="20"/>
          <w:szCs w:val="20"/>
        </w:rPr>
        <w:tab/>
        <w:t xml:space="preserve">b.2) A multa pode ser aplicada isoladamente ou juntamente com as penalidades definidas nos itens “c” e “d” abaixo: </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ab/>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11.3.2. As peculiaridades do caso concreto.</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11.3.3. As circunstâncias agravantes ou atenuantes.</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11.3.4. Os danos que dela provierem para a Administração Pública.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lang w:eastAsia="en-US"/>
        </w:rPr>
        <w:t xml:space="preserve">11.5. </w:t>
      </w:r>
      <w:r>
        <w:rPr>
          <w:rFonts w:ascii="Verdana" w:hAnsi="Verdana"/>
          <w:iCs/>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79" w:right="0" w:hanging="0"/>
        <w:jc w:val="both"/>
        <w:rPr>
          <w:rFonts w:ascii="Verdana" w:hAnsi="Verdana"/>
          <w:sz w:val="20"/>
          <w:szCs w:val="20"/>
        </w:rPr>
      </w:pPr>
      <w:r>
        <w:rPr>
          <w:rFonts w:ascii="Verdana" w:hAnsi="Verdana"/>
          <w:b/>
          <w:bCs/>
          <w:sz w:val="20"/>
          <w:szCs w:val="20"/>
          <w:lang w:eastAsia="en-US"/>
        </w:rPr>
        <w:t>12. DA HABILITAÇÃO</w:t>
      </w:r>
    </w:p>
    <w:p>
      <w:pPr>
        <w:pStyle w:val="Nivel01"/>
        <w:tabs>
          <w:tab w:val="left" w:pos="517" w:leader="none"/>
          <w:tab w:val="left" w:pos="567" w:leader="none"/>
          <w:tab w:val="left" w:pos="683" w:leader="none"/>
        </w:tabs>
        <w:spacing w:lineRule="auto" w:line="240" w:before="57" w:after="57"/>
        <w:ind w:left="-57" w:right="0" w:hanging="0"/>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240" w:before="57" w:after="57"/>
        <w:ind w:left="0" w:right="0" w:hanging="0"/>
        <w:contextualSpacing/>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3">
        <w:r>
          <w:rPr>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4">
        <w:r>
          <w:rPr>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Santo–TCE/ES(https://www.tcees.tc.br/portal-da-transparencia/consultas/lista-de-responsaveis/empresas-inidoneas/) e proibidas de contratar com o Poder Público estadual ou municipal(</w:t>
      </w:r>
      <w:hyperlink r:id="rId5">
        <w:r>
          <w:rPr>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 xml:space="preserve">12.1.1. </w:t>
      </w:r>
      <w:r>
        <w:rPr>
          <w:rFonts w:cs="Verdana" w:ascii="Verdana" w:hAnsi="Verdana"/>
          <w:sz w:val="20"/>
          <w:szCs w:val="20"/>
          <w:lang w:eastAsia="ar-SA"/>
        </w:rPr>
        <w:t>Para a consulta de licitantes pessoa jurídica poderá haver a substituição das consultas das alíneas “b”, “c” e “d” acima pela Consulta Consolidada de Pessoa Jurídica do TCU (</w:t>
      </w:r>
      <w:hyperlink r:id="rId6">
        <w:r>
          <w:rPr>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 xml:space="preserve">12.2.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12.3. Ha</w:t>
      </w:r>
      <w:r>
        <w:rPr>
          <w:rFonts w:cs="Verdana" w:ascii="Verdana" w:hAnsi="Verdana"/>
          <w:color w:val="000000"/>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shd w:val="clear" w:fill="FFFFFF"/>
        <w:tabs>
          <w:tab w:val="clear" w:pos="708"/>
          <w:tab w:val="left" w:pos="567" w:leader="none"/>
        </w:tabs>
        <w:spacing w:lineRule="auto" w:line="240" w:before="57" w:after="57"/>
        <w:ind w:left="0" w:right="0" w:hanging="0"/>
        <w:rPr>
          <w:rFonts w:ascii="Verdana" w:hAnsi="Verdana"/>
          <w:sz w:val="20"/>
          <w:szCs w:val="2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PADRO"/>
        <w:widowControl/>
        <w:shd w:val="clear" w:fill="FFFFFF"/>
        <w:tabs>
          <w:tab w:val="clear" w:pos="708"/>
          <w:tab w:val="left" w:pos="567" w:leader="none"/>
        </w:tabs>
        <w:spacing w:lineRule="auto" w:line="240" w:before="57" w:after="57"/>
        <w:ind w:left="0" w:right="0" w:hanging="0"/>
        <w:rPr>
          <w:rFonts w:ascii="Verdana" w:hAnsi="Verdana"/>
          <w:sz w:val="20"/>
          <w:szCs w:val="2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240" w:before="57" w:after="57"/>
        <w:ind w:left="0" w:right="0" w:hanging="0"/>
        <w:rPr>
          <w:rFonts w:ascii="Verdana" w:hAnsi="Verdana"/>
          <w:sz w:val="20"/>
          <w:szCs w:val="20"/>
        </w:rPr>
      </w:pPr>
      <w:r>
        <w:rPr>
          <w:rFonts w:cs="Verdana" w:ascii="Verdana" w:hAnsi="Verdana"/>
          <w:b w:val="false"/>
          <w:bCs w:val="false"/>
          <w:sz w:val="20"/>
          <w:szCs w:val="20"/>
        </w:rPr>
        <w:t>12.7 Ress</w:t>
      </w:r>
      <w:r>
        <w:rPr>
          <w:rFonts w:cs="Verdana" w:ascii="Verdana" w:hAnsi="Verdana"/>
          <w:sz w:val="20"/>
          <w:szCs w:val="20"/>
        </w:rPr>
        <w:t>alvado o disposto no item 5.3, os licitantes deverão encaminhar, nos termos deste Edital, a documentação relacionada nos itens a seguir, para fins de habilitação:</w:t>
      </w:r>
    </w:p>
    <w:p>
      <w:pPr>
        <w:pStyle w:val="ListParagraph"/>
        <w:spacing w:lineRule="auto" w:line="240"/>
        <w:ind w:left="0" w:right="0" w:hanging="0"/>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240" w:before="57" w:after="57"/>
        <w:ind w:left="0" w:right="0" w:hanging="0"/>
        <w:contextualSpacing/>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40"/>
        <w:ind w:left="0" w:right="0" w:hanging="0"/>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12.9.5 Certidão de regularidade junto ao FGTS;</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right="0" w:hanging="0"/>
        <w:jc w:val="both"/>
        <w:rPr>
          <w:rFonts w:ascii="Verdana" w:hAnsi="Verdana"/>
          <w:sz w:val="20"/>
          <w:szCs w:val="20"/>
        </w:rPr>
      </w:pPr>
      <w:r>
        <w:rPr>
          <w:rFonts w:cs="Verdana" w:ascii="Verdana" w:hAnsi="Verdana"/>
          <w:b w:val="false"/>
          <w:bCs w:val="false"/>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b w:val="false"/>
          <w:bCs w:val="false"/>
          <w:color w:val="000000"/>
          <w:sz w:val="20"/>
          <w:szCs w:val="20"/>
          <w:lang w:eastAsia="en-US"/>
        </w:rPr>
        <w:t xml:space="preserve">12.10.4 </w:t>
      </w:r>
      <w:r>
        <w:rPr>
          <w:rFonts w:cs="Verdana" w:ascii="Verdana" w:hAnsi="Verdana"/>
          <w:color w:val="000000"/>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pacing w:lineRule="auto" w:line="240" w:before="0" w:after="0"/>
        <w:ind w:left="-79" w:right="0" w:hanging="0"/>
        <w:jc w:val="both"/>
        <w:rPr>
          <w:rFonts w:ascii="Verdana" w:hAnsi="Verdana"/>
          <w:sz w:val="20"/>
          <w:szCs w:val="20"/>
        </w:rPr>
      </w:pPr>
      <w:r>
        <w:rPr>
          <w:rFonts w:ascii="Verdana" w:hAnsi="Verdana"/>
          <w:sz w:val="20"/>
          <w:szCs w:val="20"/>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13. RESULTADOS PRETENDIDOS COM A CONTRATAÇÃO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13.1 </w:t>
      </w:r>
      <w:r>
        <w:rPr>
          <w:rFonts w:cs="Arial" w:ascii="Verdana" w:hAnsi="Verdana"/>
          <w:sz w:val="20"/>
          <w:szCs w:val="20"/>
        </w:rPr>
        <w:t xml:space="preserve">Os resultados pretendidos com a contratação tem como objetivo garantir </w:t>
      </w:r>
      <w:r>
        <w:rPr>
          <w:rFonts w:eastAsia="Times New Roman" w:cs="Arial" w:ascii="Verdana" w:hAnsi="Verdana"/>
          <w:color w:val="000000"/>
          <w:kern w:val="0"/>
          <w:sz w:val="20"/>
          <w:szCs w:val="20"/>
          <w:shd w:fill="auto" w:val="clear"/>
          <w:lang w:val="pt-BR" w:eastAsia="zh-CN" w:bidi="ar-SA"/>
        </w:rPr>
        <w:t>a oferta de melhores condições de trabalho aos servidores públicos e substituir os equipamentos com defeito ou em desuso.</w:t>
      </w:r>
    </w:p>
    <w:p>
      <w:pPr>
        <w:pStyle w:val="Normal"/>
        <w:spacing w:lineRule="auto" w:line="240" w:before="0" w:after="0"/>
        <w:ind w:left="0" w:right="-425" w:hanging="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40" w:before="0" w:after="0"/>
        <w:jc w:val="both"/>
        <w:rPr>
          <w:rFonts w:ascii="Verdana" w:hAnsi="Verdana"/>
          <w:sz w:val="20"/>
          <w:szCs w:val="20"/>
        </w:rPr>
      </w:pPr>
      <w:r>
        <w:rPr>
          <w:rFonts w:cs="Arial" w:ascii="Verdana" w:hAnsi="Verdana"/>
          <w:b/>
          <w:sz w:val="20"/>
          <w:szCs w:val="20"/>
        </w:rPr>
        <w:t>14. PROVIDÊNCIAS A SEREM ADOTADAS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14.1. A Administração Pública contará com a Secretaria Municipal de Assistência Social  </w:t>
      </w:r>
      <w:r>
        <w:rPr>
          <w:rFonts w:eastAsia="Times New Roman" w:cs="Arial" w:ascii="Verdana" w:hAnsi="Verdana"/>
          <w:b w:val="false"/>
          <w:bCs w:val="false"/>
          <w:color w:val="000000"/>
          <w:kern w:val="0"/>
          <w:sz w:val="20"/>
          <w:szCs w:val="20"/>
          <w:lang w:val="pt-BR" w:eastAsia="zh-CN" w:bidi="ar-SA"/>
        </w:rPr>
        <w:t xml:space="preserve">responsável por acompanhar a entrega dos produtos, </w:t>
      </w:r>
      <w:r>
        <w:rPr>
          <w:rFonts w:cs="Arial" w:ascii="Verdana" w:hAnsi="Verdana"/>
          <w:b w:val="false"/>
          <w:bCs w:val="false"/>
          <w:sz w:val="20"/>
          <w:szCs w:val="20"/>
        </w:rPr>
        <w:t>recebimento e conferência das especificações contidas no processo licitatório.</w:t>
      </w:r>
    </w:p>
    <w:p>
      <w:pPr>
        <w:pStyle w:val="Normal"/>
        <w:spacing w:lineRule="auto" w:line="240" w:before="0" w:after="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rPr>
        <w:t>15. CONTRATAÇÕES CORRELATAS E/OU INTERDEPENDENTES</w:t>
      </w:r>
    </w:p>
    <w:p>
      <w:pPr>
        <w:pStyle w:val="Normal"/>
        <w:widowControl/>
        <w:suppressAutoHyphens w:val="false"/>
        <w:bidi w:val="0"/>
        <w:spacing w:lineRule="auto" w:line="240" w:before="0" w:after="0"/>
        <w:ind w:left="0" w:right="0" w:hanging="0"/>
        <w:jc w:val="both"/>
        <w:rPr>
          <w:rFonts w:ascii="Verdana" w:hAnsi="Verdana"/>
          <w:sz w:val="20"/>
          <w:szCs w:val="20"/>
        </w:rPr>
      </w:pPr>
      <w:r>
        <w:rPr>
          <w:rFonts w:cs="Arial" w:ascii="Verdana" w:hAnsi="Verdana"/>
          <w:b w:val="false"/>
          <w:bCs w:val="false"/>
          <w:sz w:val="20"/>
          <w:szCs w:val="20"/>
        </w:rPr>
        <w:t xml:space="preserve">15.1. </w:t>
      </w:r>
      <w:r>
        <w:rPr>
          <w:rFonts w:eastAsia="Times New Roman" w:cs="Arial" w:ascii="Verdana" w:hAnsi="Verdana"/>
          <w:b w:val="false"/>
          <w:bCs w:val="false"/>
          <w:color w:val="auto"/>
          <w:kern w:val="0"/>
          <w:sz w:val="20"/>
          <w:szCs w:val="20"/>
          <w:lang w:val="pt-BR" w:eastAsia="zh-CN" w:bidi="ar-SA"/>
        </w:rPr>
        <w:t>N</w:t>
      </w:r>
      <w:r>
        <w:rPr>
          <w:rFonts w:eastAsia="Times New Roman" w:cs="Arial" w:ascii="Verdana" w:hAnsi="Verdana"/>
          <w:color w:val="auto"/>
          <w:kern w:val="0"/>
          <w:sz w:val="20"/>
          <w:szCs w:val="20"/>
          <w:lang w:val="pt-BR" w:eastAsia="zh-CN" w:bidi="ar-SA"/>
        </w:rPr>
        <w:t xml:space="preserve">ão se </w:t>
      </w:r>
      <w:r>
        <w:rPr>
          <w:rFonts w:cs="Arial" w:ascii="Verdana" w:hAnsi="Verdana"/>
          <w:sz w:val="20"/>
          <w:szCs w:val="20"/>
        </w:rPr>
        <w:t xml:space="preserve">verifica contratações correlatas ou interdependentes </w:t>
      </w:r>
      <w:r>
        <w:rPr>
          <w:rFonts w:eastAsia="Times New Roman" w:cs="Arial" w:ascii="Verdana" w:hAnsi="Verdana"/>
          <w:color w:val="auto"/>
          <w:kern w:val="0"/>
          <w:sz w:val="20"/>
          <w:szCs w:val="20"/>
          <w:lang w:val="pt-BR" w:eastAsia="zh-CN" w:bidi="ar-SA"/>
        </w:rPr>
        <w:t>no período</w:t>
      </w:r>
      <w:r>
        <w:rPr>
          <w:rFonts w:cs="Arial" w:ascii="Verdana" w:hAnsi="Verdana"/>
          <w:sz w:val="20"/>
          <w:szCs w:val="20"/>
        </w:rPr>
        <w:t>.</w:t>
      </w:r>
    </w:p>
    <w:p>
      <w:pPr>
        <w:pStyle w:val="Normal"/>
        <w:spacing w:lineRule="auto" w:line="240" w:before="0" w:after="0"/>
        <w:jc w:val="both"/>
        <w:rPr>
          <w:rFonts w:ascii="Verdana" w:hAnsi="Verdana" w:cs="Arial"/>
          <w:b w:val="false"/>
          <w:bCs w:val="false"/>
          <w:sz w:val="20"/>
          <w:szCs w:val="20"/>
          <w:shd w:fill="auto" w:val="clear"/>
        </w:rPr>
      </w:pPr>
      <w:r>
        <w:rPr>
          <w:rFonts w:cs="Arial" w:ascii="Verdana" w:hAnsi="Verdana"/>
          <w:b w:val="false"/>
          <w:bCs w:val="false"/>
          <w:sz w:val="20"/>
          <w:szCs w:val="20"/>
          <w:shd w:fill="auto" w:val="clear"/>
        </w:rPr>
      </w:r>
    </w:p>
    <w:p>
      <w:pPr>
        <w:pStyle w:val="Normal"/>
        <w:suppressAutoHyphens w:val="false"/>
        <w:spacing w:lineRule="auto" w:line="240" w:before="0" w:after="0"/>
        <w:jc w:val="both"/>
        <w:rPr>
          <w:rFonts w:ascii="Verdana" w:hAnsi="Verdana"/>
          <w:sz w:val="20"/>
          <w:szCs w:val="20"/>
        </w:rPr>
      </w:pPr>
      <w:r>
        <w:rPr>
          <w:rFonts w:cs="Arial" w:ascii="Verdana" w:hAnsi="Verdana"/>
          <w:b/>
          <w:sz w:val="20"/>
          <w:szCs w:val="20"/>
          <w:shd w:fill="auto" w:val="clear"/>
        </w:rPr>
        <w:t>16. POSSÍVEIS IMPACTOS AMBIENTAIS</w:t>
      </w:r>
    </w:p>
    <w:p>
      <w:pPr>
        <w:pStyle w:val="Normal"/>
        <w:widowControl/>
        <w:suppressAutoHyphens w:val="true"/>
        <w:bidi w:val="0"/>
        <w:spacing w:lineRule="auto" w:line="240" w:before="0" w:after="0"/>
        <w:ind w:left="0" w:right="0" w:hanging="0"/>
        <w:jc w:val="both"/>
        <w:rPr>
          <w:rFonts w:ascii="Verdana" w:hAnsi="Verdana"/>
          <w:sz w:val="20"/>
          <w:szCs w:val="20"/>
        </w:rPr>
      </w:pPr>
      <w:r>
        <w:rPr>
          <w:rFonts w:ascii="Verdana" w:hAnsi="Verdana"/>
          <w:b w:val="false"/>
          <w:bCs w:val="false"/>
          <w:sz w:val="20"/>
          <w:szCs w:val="20"/>
          <w:shd w:fill="auto" w:val="clear"/>
        </w:rPr>
        <w:t xml:space="preserve">16.1. </w:t>
      </w:r>
      <w:r>
        <w:rPr>
          <w:rFonts w:eastAsia="Times New Roman" w:cs="Arial" w:ascii="Verdana" w:hAnsi="Verdana"/>
          <w:b w:val="false"/>
          <w:bCs w:val="false"/>
          <w:color w:val="000000"/>
          <w:kern w:val="0"/>
          <w:sz w:val="20"/>
          <w:szCs w:val="20"/>
          <w:shd w:fill="auto" w:val="clear"/>
          <w:lang w:val="pt-BR" w:eastAsia="zh-CN" w:bidi="ar-SA"/>
        </w:rPr>
        <w:t>Não há previsão de impacto ambiental para a contratação em tela.</w:t>
      </w:r>
    </w:p>
    <w:p>
      <w:pPr>
        <w:pStyle w:val="Normal"/>
        <w:spacing w:lineRule="auto" w:line="240" w:before="0" w:after="0"/>
        <w:jc w:val="both"/>
        <w:rPr>
          <w:rFonts w:ascii="Verdana" w:hAnsi="Verdana" w:cs="Arial"/>
          <w:b/>
          <w:sz w:val="20"/>
          <w:szCs w:val="20"/>
        </w:rPr>
      </w:pPr>
      <w:r>
        <w:rPr>
          <w:rFonts w:cs="Arial" w:ascii="Verdana" w:hAnsi="Verdana"/>
          <w:b/>
          <w:sz w:val="20"/>
          <w:szCs w:val="20"/>
        </w:rPr>
      </w:r>
    </w:p>
    <w:p>
      <w:pPr>
        <w:pStyle w:val="Normal"/>
        <w:spacing w:lineRule="auto" w:line="240" w:before="0" w:after="0"/>
        <w:jc w:val="both"/>
        <w:rPr>
          <w:rFonts w:ascii="Verdana" w:hAnsi="Verdana"/>
          <w:sz w:val="20"/>
          <w:szCs w:val="20"/>
        </w:rPr>
      </w:pPr>
      <w:r>
        <w:rPr>
          <w:rFonts w:cs="Arial" w:ascii="Verdana" w:hAnsi="Verdana"/>
          <w:b/>
          <w:sz w:val="20"/>
          <w:szCs w:val="20"/>
        </w:rPr>
        <w:t>17. DECLARAÇÃO E JUSTIFICATIVA DA VIABILIDADE</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17.1. Neste sentido, a equipe de planejamento do ETP e de acordo com a autoridade deste requerente, declara viável esta contratação, com base nos elementos apresentados neste documento.</w:t>
      </w:r>
    </w:p>
    <w:p>
      <w:pPr>
        <w:pStyle w:val="Normal"/>
        <w:spacing w:lineRule="auto" w:line="240" w:before="0" w:after="0"/>
        <w:ind w:left="0" w:right="-425"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rPr>
          <w:rFonts w:ascii="Verdana" w:hAnsi="Verdana"/>
          <w:sz w:val="20"/>
          <w:szCs w:val="20"/>
        </w:rPr>
      </w:pPr>
      <w:r>
        <w:rPr>
          <w:rFonts w:cs="Times New Roman" w:ascii="Verdana" w:hAnsi="Verdana"/>
          <w:b/>
          <w:bCs/>
          <w:sz w:val="20"/>
          <w:szCs w:val="20"/>
        </w:rPr>
        <w:t xml:space="preserve">18. ADEQUAÇÃO ORÇAMENTÁRIA </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18.1.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 bem como requisição do sistema presente nos autos, sendo a </w:t>
      </w:r>
      <w:r>
        <w:rPr>
          <w:rFonts w:eastAsia="Times New Roman" w:cs="Times New Roman" w:ascii="Verdana" w:hAnsi="Verdana"/>
          <w:sz w:val="20"/>
          <w:szCs w:val="20"/>
        </w:rPr>
        <w:t>aquisição</w:t>
      </w:r>
      <w:r>
        <w:rPr>
          <w:rFonts w:ascii="Verdana" w:hAnsi="Verdana"/>
          <w:sz w:val="20"/>
          <w:szCs w:val="20"/>
        </w:rPr>
        <w:t xml:space="preserve"> será atendida pelas seguintes dotações</w:t>
      </w:r>
    </w:p>
    <w:p>
      <w:pPr>
        <w:pStyle w:val="ListParagraph"/>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ListParagraph"/>
        <w:numPr>
          <w:ilvl w:val="0"/>
          <w:numId w:val="1"/>
        </w:numPr>
        <w:spacing w:lineRule="auto" w:line="240"/>
        <w:ind w:left="0" w:right="0" w:hanging="0"/>
        <w:jc w:val="both"/>
        <w:rPr>
          <w:rFonts w:ascii="Verdana" w:hAnsi="Verdana"/>
          <w:sz w:val="20"/>
          <w:szCs w:val="20"/>
        </w:rPr>
      </w:pPr>
      <w:r>
        <w:rPr>
          <w:rFonts w:cs="Arial" w:ascii="Verdana" w:hAnsi="Verdana"/>
          <w:sz w:val="20"/>
          <w:szCs w:val="20"/>
        </w:rPr>
        <w:t>FICHA – FONTE: 00</w:t>
      </w:r>
      <w:r>
        <w:rPr>
          <w:rFonts w:eastAsia="Times New Roman" w:cs="Arial" w:ascii="Verdana" w:hAnsi="Verdana"/>
          <w:sz w:val="20"/>
          <w:szCs w:val="20"/>
        </w:rPr>
        <w:t>413-</w:t>
      </w:r>
      <w:r>
        <w:rPr>
          <w:rFonts w:cs="Arial" w:ascii="Verdana" w:hAnsi="Verdana"/>
          <w:sz w:val="20"/>
          <w:szCs w:val="20"/>
        </w:rPr>
        <w:t>1</w:t>
      </w:r>
      <w:r>
        <w:rPr>
          <w:rFonts w:eastAsia="Times New Roman" w:cs="Arial" w:ascii="Verdana" w:hAnsi="Verdana"/>
          <w:sz w:val="20"/>
          <w:szCs w:val="20"/>
        </w:rPr>
        <w:t xml:space="preserve">5000000000000 no valor estimado de </w:t>
      </w:r>
      <w:r>
        <w:rPr>
          <w:rFonts w:eastAsia="Times New Roman" w:cs="Arial" w:ascii="Verdana" w:hAnsi="Verdana"/>
          <w:b w:val="false"/>
          <w:bCs w:val="false"/>
          <w:sz w:val="20"/>
          <w:szCs w:val="20"/>
        </w:rPr>
        <w:t xml:space="preserve">R$ </w:t>
      </w:r>
      <w:r>
        <w:rPr>
          <w:rFonts w:eastAsia="Times New Roman" w:cs="Arial" w:ascii="Verdana" w:hAnsi="Verdana"/>
          <w:b w:val="false"/>
          <w:bCs w:val="false"/>
          <w:i w:val="false"/>
          <w:iCs w:val="false"/>
          <w:color w:val="000000"/>
          <w:sz w:val="20"/>
          <w:szCs w:val="20"/>
          <w:u w:val="none"/>
          <w:lang w:eastAsia="zh-CN"/>
        </w:rPr>
        <w:t>412.070,80 (quatrocentos e doze mil setenta reais e oitenta centavos).</w:t>
      </w:r>
    </w:p>
    <w:p>
      <w:pPr>
        <w:pStyle w:val="ListParagraph"/>
        <w:numPr>
          <w:ilvl w:val="0"/>
          <w:numId w:val="0"/>
        </w:numPr>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ListParagraph"/>
        <w:numPr>
          <w:ilvl w:val="0"/>
          <w:numId w:val="1"/>
        </w:numPr>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lang w:eastAsia="zh-CN"/>
        </w:rPr>
        <w:t>FICHA - FONTE: 00105-1500000000000 no valor de R$ 960.043,90 (novecentos e sessenta mil quarenta e três reais e noventa centavos).</w:t>
      </w:r>
    </w:p>
    <w:p>
      <w:pPr>
        <w:pStyle w:val="ListParagraph"/>
        <w:numPr>
          <w:ilvl w:val="0"/>
          <w:numId w:val="0"/>
        </w:numPr>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ListParagraph"/>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lang w:eastAsia="zh-CN"/>
        </w:rPr>
        <w:t>Totalizando a aquisição pretendida o valor de R$ 1.372.114,70 (um milhão trezentos e setenta e dois mil cento e quatorze reais e setenta centavos)</w:t>
      </w:r>
    </w:p>
    <w:p>
      <w:pPr>
        <w:pStyle w:val="ListParagraph"/>
        <w:spacing w:lineRule="auto" w:line="240"/>
        <w:ind w:left="0" w:right="0" w:hanging="0"/>
        <w:jc w:val="both"/>
        <w:rPr>
          <w:rFonts w:eastAsia="Times New Roman" w:cs="Arial"/>
          <w:b w:val="false"/>
          <w:bCs w:val="false"/>
          <w:i w:val="false"/>
          <w:i w:val="false"/>
          <w:iCs w:val="false"/>
          <w:color w:val="000000"/>
          <w:u w:val="none"/>
          <w:lang w:eastAsia="zh-CN"/>
        </w:rPr>
      </w:pPr>
      <w:r>
        <w:rPr>
          <w:rFonts w:eastAsia="Times New Roman" w:cs="Arial"/>
          <w:b w:val="false"/>
          <w:bCs w:val="false"/>
          <w:i w:val="false"/>
          <w:iCs w:val="false"/>
          <w:color w:val="000000"/>
          <w:u w:val="none"/>
          <w:lang w:eastAsia="zh-CN"/>
        </w:rPr>
      </w:r>
    </w:p>
    <w:p>
      <w:pPr>
        <w:pStyle w:val="Normal"/>
        <w:spacing w:lineRule="auto" w:line="240"/>
        <w:jc w:val="both"/>
        <w:rPr>
          <w:rFonts w:ascii="Verdana" w:hAnsi="Verdana"/>
          <w:sz w:val="20"/>
          <w:szCs w:val="20"/>
        </w:rPr>
      </w:pPr>
      <w:r>
        <w:rPr>
          <w:rFonts w:cs="Arial" w:ascii="Verdana" w:hAnsi="Verdana"/>
          <w:b/>
          <w:bCs/>
          <w:color w:val="000000"/>
          <w:sz w:val="20"/>
          <w:szCs w:val="20"/>
        </w:rPr>
        <w:t>19. DOS RESPONSÁVEIS PELA ELABORAÇÃO DO TERMO DE REFERÊNCIA</w:t>
      </w:r>
    </w:p>
    <w:p>
      <w:pPr>
        <w:pStyle w:val="Normal"/>
        <w:spacing w:lineRule="auto" w:line="240"/>
        <w:jc w:val="both"/>
        <w:rPr>
          <w:rFonts w:ascii="Verdana" w:hAnsi="Verdana"/>
          <w:sz w:val="20"/>
          <w:szCs w:val="20"/>
        </w:rPr>
      </w:pPr>
      <w:r>
        <w:rPr>
          <w:rFonts w:cs="Arial" w:ascii="Verdana" w:hAnsi="Verdana"/>
          <w:b w:val="false"/>
          <w:bCs w:val="false"/>
          <w:color w:val="000000"/>
          <w:sz w:val="20"/>
          <w:szCs w:val="20"/>
        </w:rPr>
        <w:t>19.1.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40"/>
        <w:jc w:val="right"/>
        <w:rPr>
          <w:rFonts w:ascii="Verdana" w:hAnsi="Verdana" w:cs="Arial"/>
          <w:b/>
          <w:sz w:val="20"/>
          <w:szCs w:val="20"/>
          <w:u w:val="single"/>
        </w:rPr>
      </w:pPr>
      <w:r>
        <w:rPr>
          <w:rFonts w:cs="Arial" w:ascii="Verdana" w:hAnsi="Verdana"/>
          <w:b/>
          <w:sz w:val="20"/>
          <w:szCs w:val="20"/>
          <w:u w:val="single"/>
        </w:rPr>
      </w:r>
    </w:p>
    <w:p>
      <w:pPr>
        <w:pStyle w:val="Normal"/>
        <w:spacing w:lineRule="auto" w:line="240"/>
        <w:jc w:val="right"/>
        <w:rPr>
          <w:rFonts w:ascii="Verdana" w:hAnsi="Verdana" w:cs="Arial"/>
          <w:b/>
          <w:sz w:val="20"/>
          <w:szCs w:val="20"/>
          <w:u w:val="single"/>
        </w:rPr>
      </w:pPr>
      <w:r>
        <w:rPr>
          <w:rFonts w:cs="Arial" w:ascii="Verdana" w:hAnsi="Verdana"/>
          <w:b/>
          <w:sz w:val="20"/>
          <w:szCs w:val="20"/>
          <w:u w:val="single"/>
        </w:rPr>
      </w:r>
    </w:p>
    <w:p>
      <w:pPr>
        <w:pStyle w:val="Normal"/>
        <w:spacing w:lineRule="auto" w:line="240"/>
        <w:jc w:val="right"/>
        <w:rPr>
          <w:rFonts w:ascii="Verdana" w:hAnsi="Verdana"/>
          <w:sz w:val="20"/>
          <w:szCs w:val="20"/>
        </w:rPr>
      </w:pPr>
      <w:r>
        <w:rPr>
          <w:rFonts w:ascii="Verdana" w:hAnsi="Verdana"/>
          <w:sz w:val="20"/>
          <w:szCs w:val="20"/>
        </w:rPr>
        <w:t>São Gabriel da Palha, 18 de março</w:t>
      </w:r>
      <w:r>
        <w:rPr>
          <w:rFonts w:eastAsia="Times New Roman" w:cs="Times New Roman" w:ascii="Verdana" w:hAnsi="Verdana"/>
          <w:color w:val="auto"/>
          <w:kern w:val="0"/>
          <w:sz w:val="20"/>
          <w:szCs w:val="20"/>
          <w:lang w:val="pt-BR" w:eastAsia="pt-BR" w:bidi="ar-SA"/>
        </w:rPr>
        <w:t xml:space="preserve"> </w:t>
      </w:r>
      <w:r>
        <w:rPr>
          <w:rFonts w:ascii="Verdana" w:hAnsi="Verdana"/>
          <w:sz w:val="20"/>
          <w:szCs w:val="20"/>
        </w:rPr>
        <w:t>de 2025</w:t>
      </w:r>
    </w:p>
    <w:p>
      <w:pPr>
        <w:pStyle w:val="Normal"/>
        <w:spacing w:lineRule="auto" w:line="240"/>
        <w:jc w:val="right"/>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sz w:val="20"/>
          <w:szCs w:val="20"/>
        </w:rPr>
        <w:t>Elaborado por:</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left"/>
        <w:rPr>
          <w:rFonts w:ascii="Verdana" w:hAnsi="Verdana"/>
          <w:sz w:val="20"/>
          <w:szCs w:val="20"/>
        </w:rPr>
      </w:pPr>
      <w:r>
        <w:rPr>
          <w:rFonts w:cs="Arial" w:ascii="Verdana" w:hAnsi="Verdana"/>
          <w:sz w:val="20"/>
          <w:szCs w:val="20"/>
        </w:rPr>
        <w:t>RUTH BARBARA DA SILWA NASCIMENTO</w:t>
      </w:r>
    </w:p>
    <w:p>
      <w:pPr>
        <w:pStyle w:val="Normal"/>
        <w:spacing w:lineRule="auto" w:line="240"/>
        <w:jc w:val="left"/>
        <w:rPr>
          <w:rFonts w:ascii="Verdana" w:hAnsi="Verdana"/>
          <w:sz w:val="20"/>
          <w:szCs w:val="20"/>
        </w:rPr>
      </w:pPr>
      <w:r>
        <w:rPr>
          <w:rFonts w:cs="Arial" w:ascii="Verdana" w:hAnsi="Verdana"/>
          <w:sz w:val="20"/>
          <w:szCs w:val="20"/>
          <w:u w:val="none"/>
        </w:rPr>
        <w:t>Assistente Administrativo</w:t>
      </w:r>
    </w:p>
    <w:p>
      <w:pPr>
        <w:pStyle w:val="Normal"/>
        <w:suppressAutoHyphens w:val="false"/>
        <w:spacing w:lineRule="auto" w:line="240"/>
        <w:ind w:left="0" w:right="0" w:hanging="0"/>
        <w:jc w:val="left"/>
        <w:rPr/>
      </w:pPr>
      <w:bookmarkStart w:id="7" w:name="art122%252525252525252525252525252525252"/>
      <w:bookmarkStart w:id="8" w:name="art122%252525252525252525252525252525251"/>
      <w:bookmarkStart w:id="9" w:name="art122%252525252525252525252525252525253"/>
      <w:bookmarkStart w:id="10" w:name="art122%252525252525252525252525252525254"/>
      <w:bookmarkStart w:id="11" w:name="_GoBack121"/>
      <w:bookmarkStart w:id="12" w:name="_GoBack3211"/>
      <w:bookmarkStart w:id="13" w:name="_GoBack21"/>
      <w:bookmarkStart w:id="14" w:name="_GoBack12"/>
      <w:bookmarkStart w:id="15" w:name="_GoBack14"/>
      <w:bookmarkStart w:id="16" w:name="_GoBack3112"/>
      <w:bookmarkStart w:id="17" w:name="art122%2525252525252525252525252525252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cs="Arial" w:ascii="Verdana" w:hAnsi="Verdana"/>
          <w:b w:val="false"/>
          <w:bCs w:val="false"/>
          <w:color w:val="000000"/>
          <w:sz w:val="20"/>
          <w:szCs w:val="20"/>
          <w:u w:val="none"/>
        </w:rPr>
        <w:t xml:space="preserve"> </w:t>
      </w:r>
      <w:hyperlink r:id="rId8">
        <w:r>
          <w:rPr>
            <w:rFonts w:cs="Arial" w:ascii="Verdana" w:hAnsi="Verdana"/>
            <w:b w:val="false"/>
            <w:bCs w:val="false"/>
            <w:color w:val="000000"/>
            <w:sz w:val="20"/>
            <w:szCs w:val="20"/>
            <w:u w:val="none"/>
          </w:rPr>
          <w:t>Mat. nº 002983</w:t>
        </w:r>
      </w:hyperlink>
    </w:p>
    <w:sectPr>
      <w:headerReference w:type="default" r:id="rId9"/>
      <w:footerReference w:type="default" r:id="rId10"/>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Verdana">
    <w:charset w:val="00"/>
    <w:family w:val="roman"/>
    <w:pitch w:val="variable"/>
  </w:font>
  <w:font w:name="Arial Narrow">
    <w:charset w:val="00"/>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7">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qFormat/>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Annotationreference">
    <w:name w:val="annotation reference"/>
    <w:qFormat/>
    <w:rPr>
      <w:sz w:val="18"/>
      <w:szCs w:val="18"/>
    </w:rPr>
  </w:style>
  <w:style w:type="character" w:styleId="TextodecomentrioChar">
    <w:name w:val="Texto de comentário Char"/>
    <w:qFormat/>
    <w:rPr>
      <w:rFonts w:ascii="Arial" w:hAnsi="Arial" w:cs="Tahoma"/>
    </w:rPr>
  </w:style>
  <w:style w:type="character" w:styleId="AssuntodocomentrioChar">
    <w:name w:val="Assunto do comentário Char"/>
    <w:qFormat/>
    <w:rPr>
      <w:rFonts w:ascii="Arial" w:hAnsi="Arial" w:cs="Tahoma"/>
      <w:b/>
      <w:bCs/>
    </w:rPr>
  </w:style>
  <w:style w:type="character" w:styleId="Nivel01Char">
    <w:name w:val="Nivel 01 Char"/>
    <w:qFormat/>
    <w:rPr>
      <w:rFonts w:ascii="Ecofont_Spranq_eco_Sans" w:hAnsi="Ecofont_Spranq_eco_Sans" w:eastAsia="ＭＳ ゴシック"/>
      <w:b/>
      <w:bCs/>
      <w:color w:val="000000"/>
    </w:rPr>
  </w:style>
  <w:style w:type="character" w:styleId="Nivel01Char1">
    <w:name w:val="Nivel_01 Char"/>
    <w:qFormat/>
    <w:rPr>
      <w:rFonts w:ascii="Ecofont_Spranq_eco_Sans" w:hAnsi="Ecofont_Spranq_eco_Sans" w:eastAsia="ＭＳ ゴシック" w:cs="Times New Roman"/>
      <w:b/>
      <w:bCs/>
      <w:color w:val="365F91"/>
      <w:sz w:val="32"/>
      <w:szCs w:val="32"/>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Apple-converted-space">
    <w:name w:val="apple-converted-space"/>
    <w:qFormat/>
    <w:rPr/>
  </w:style>
  <w:style w:type="character" w:styleId="Scayt-misspell-word">
    <w:name w:val="scayt-misspell-word"/>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themeColor="accent1" w:themeShade="bf"/>
      <w:sz w:val="20"/>
      <w:szCs w:val="20"/>
    </w:rPr>
  </w:style>
  <w:style w:type="paragraph" w:styleId="Caption2">
    <w:name w:val="caption2"/>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name w:val="Nível 2"/>
    <w:basedOn w:val="Normal"/>
    <w:qFormat/>
    <w:pPr>
      <w:spacing w:before="0" w:after="120"/>
      <w:jc w:val="both"/>
    </w:pPr>
    <w:rPr>
      <w:rFonts w:cs="Times New Roman"/>
      <w:b/>
      <w:szCs w:val="20"/>
    </w:rPr>
  </w:style>
  <w:style w:type="paragraph" w:styleId="ListBullet5">
    <w:name w:val="List Bullet 5"/>
    <w:basedOn w:val="Normal"/>
    <w:qFormat/>
    <w:pPr>
      <w:spacing w:before="0" w:after="0"/>
      <w:contextualSpacing/>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cs="Times New Roman"/>
      <w:i/>
      <w:iCs/>
      <w:color w:val="000000"/>
      <w:lang w:val="x-none" w:eastAsia="en-US"/>
    </w:rPr>
  </w:style>
  <w:style w:type="paragraph" w:styleId="Annotationtext">
    <w:name w:val="annotation text"/>
    <w:basedOn w:val="Normal"/>
    <w:qFormat/>
    <w:pPr/>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Nivel011">
    <w:name w:val="Nivel_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365F91" w:themeColor="accent1" w:themeShade="bf"/>
      <w:sz w:val="20"/>
      <w:szCs w:val="20"/>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rPr>
  </w:style>
  <w:style w:type="paragraph" w:styleId="PargrafodaLista1">
    <w:name w:val="Parágrafo da Lista1"/>
    <w:basedOn w:val="Normal"/>
    <w:qFormat/>
    <w:pPr>
      <w:ind w:left="720" w:hanging="0"/>
    </w:pPr>
    <w:rPr>
      <w:rFonts w:ascii="Ecofont_Spranq_eco_Sans" w:hAnsi="Ecofont_Spranq_eco_Sans" w:cs="Ecofont_Spranq_eco_Sans"/>
    </w:rPr>
  </w:style>
  <w:style w:type="paragraph" w:styleId="Nivel11">
    <w:name w:val="Nivel 1"/>
    <w:qFormat/>
    <w:pPr>
      <w:widowControl/>
      <w:tabs>
        <w:tab w:val="clear" w:pos="708"/>
        <w:tab w:val="left" w:pos="360" w:leader="none"/>
      </w:tabs>
      <w:suppressAutoHyphens w:val="true"/>
      <w:bidi w:val="0"/>
      <w:spacing w:lineRule="auto" w:line="276" w:before="120" w:after="120"/>
      <w:ind w:left="644" w:hanging="432"/>
      <w:jc w:val="both"/>
    </w:pPr>
    <w:rPr>
      <w:rFonts w:ascii="Ecofont_Spranq_eco_Sans" w:hAnsi="Ecofont_Spranq_eco_Sans" w:eastAsia="Arial Unicode MS" w:cs="Arial"/>
      <w:b/>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left="2491" w:hanging="0"/>
      <w:jc w:val="both"/>
    </w:pPr>
    <w:rPr>
      <w:rFonts w:ascii="Ecofont_Spranq_eco_Sans" w:hAnsi="Ecofont_Spranq_eco_Sans" w:eastAsia="Arial Unicode MS" w:cs="Arial"/>
      <w:color w:val="auto"/>
      <w:kern w:val="0"/>
      <w:sz w:val="22"/>
      <w:szCs w:val="22"/>
      <w:lang w:val="pt-BR" w:eastAsia="en-US" w:bidi="ar-SA"/>
    </w:rPr>
  </w:style>
  <w:style w:type="paragraph" w:styleId="Nivel5">
    <w:name w:val="Nivel 5"/>
    <w:qFormat/>
    <w:pPr>
      <w:widowControl/>
      <w:tabs>
        <w:tab w:val="clear" w:pos="708"/>
        <w:tab w:val="left" w:pos="360" w:leader="none"/>
      </w:tabs>
      <w:suppressAutoHyphens w:val="true"/>
      <w:bidi w:val="0"/>
      <w:spacing w:lineRule="auto" w:line="276" w:before="120" w:after="120"/>
      <w:ind w:left="3485" w:hanging="0"/>
      <w:jc w:val="both"/>
    </w:pPr>
    <w:rPr>
      <w:rFonts w:ascii="Ecofont_Spranq_eco_Sans" w:hAnsi="Ecofont_Spranq_eco_Sans" w:eastAsia="Arial Unicode MS" w:cs="Arial"/>
      <w:color w:val="auto"/>
      <w:kern w:val="0"/>
      <w:sz w:val="22"/>
      <w:szCs w:val="22"/>
      <w:lang w:val="pt-BR" w:eastAsia="en-US" w:bidi="ar-SA"/>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cs="Ecofont_Spranq_eco_Sans"/>
      <w:i/>
      <w:iCs/>
      <w:color w:val="000000"/>
      <w:shd w:fill="FFFFCC" w:val="clear"/>
      <w:lang w:eastAsia="en-US"/>
    </w:rPr>
  </w:style>
  <w:style w:type="paragraph" w:styleId="Caption3">
    <w:name w:val="caption3"/>
    <w:basedOn w:val="Normal"/>
    <w:qFormat/>
    <w:pPr>
      <w:suppressLineNumbers/>
      <w:spacing w:before="120" w:after="120"/>
    </w:pPr>
    <w:rPr>
      <w:rFonts w:cs="Lucida Sans"/>
      <w:i/>
      <w:iCs/>
      <w:szCs w:val="24"/>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planalto.gov.br/ccivil_03/leis/lcp/lcp123.htm"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899</TotalTime>
  <Application>LibreOffice/7.5.7.1$Windows_X86_64 LibreOffice_project/47eb0cf7efbacdee9b19ae25d6752381ede23126</Application>
  <AppVersion>15.0000</AppVersion>
  <Pages>16</Pages>
  <Words>6151</Words>
  <Characters>34553</Characters>
  <CharactersWithSpaces>40393</CharactersWithSpaces>
  <Paragraphs>414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2025-03-18T13:51:06Z</cp:lastPrinted>
  <dcterms:modified xsi:type="dcterms:W3CDTF">2025-05-02T10:40:43Z</dcterms:modified>
  <cp:revision>143</cp:revision>
  <dc:subject/>
  <dc:title/>
</cp:coreProperties>
</file>

<file path=docProps/custom.xml><?xml version="1.0" encoding="utf-8"?>
<Properties xmlns="http://schemas.openxmlformats.org/officeDocument/2006/custom-properties" xmlns:vt="http://schemas.openxmlformats.org/officeDocument/2006/docPropsVTypes"/>
</file>